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30" w:lineRule="exact"/>
        <w:rPr>
          <w:sz w:val="24"/>
          <w:szCs w:val="24"/>
          <w:color w:val="auto"/>
        </w:rPr>
      </w:pPr>
    </w:p>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Filed Pursuant to Rule 424(b)(7)</w:t>
      </w:r>
    </w:p>
    <w:p>
      <w:pPr>
        <w:spacing w:after="0" w:line="19" w:lineRule="exact"/>
        <w:rPr>
          <w:sz w:val="24"/>
          <w:szCs w:val="24"/>
          <w:color w:val="auto"/>
        </w:rPr>
      </w:pPr>
    </w:p>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Registration No. 333-275774</w:t>
      </w:r>
    </w:p>
    <w:p>
      <w:pPr>
        <w:spacing w:after="0" w:line="49" w:lineRule="exact"/>
        <w:rPr>
          <w:sz w:val="24"/>
          <w:szCs w:val="24"/>
          <w:color w:val="auto"/>
        </w:rPr>
      </w:pPr>
    </w:p>
    <w:p>
      <w:pPr>
        <w:ind w:left="1460"/>
        <w:spacing w:after="0"/>
        <w:rPr>
          <w:sz w:val="20"/>
          <w:szCs w:val="20"/>
          <w:color w:val="auto"/>
        </w:rPr>
      </w:pPr>
      <w:r>
        <w:rPr>
          <w:rFonts w:ascii="Times New Roman" w:cs="Times New Roman" w:eastAsia="Times New Roman" w:hAnsi="Times New Roman"/>
          <w:sz w:val="14"/>
          <w:szCs w:val="14"/>
          <w:b w:val="1"/>
          <w:bCs w:val="1"/>
          <w:color w:val="auto"/>
        </w:rPr>
        <w:t>PROSPECTUS SUPPLEMENT</w:t>
      </w:r>
    </w:p>
    <w:p>
      <w:pPr>
        <w:spacing w:after="0" w:line="19" w:lineRule="exact"/>
        <w:rPr>
          <w:sz w:val="24"/>
          <w:szCs w:val="24"/>
          <w:color w:val="auto"/>
        </w:rPr>
      </w:pPr>
    </w:p>
    <w:p>
      <w:pPr>
        <w:ind w:left="1460"/>
        <w:spacing w:after="0"/>
        <w:rPr>
          <w:sz w:val="20"/>
          <w:szCs w:val="20"/>
          <w:color w:val="auto"/>
        </w:rPr>
      </w:pPr>
      <w:r>
        <w:rPr>
          <w:rFonts w:ascii="Times New Roman" w:cs="Times New Roman" w:eastAsia="Times New Roman" w:hAnsi="Times New Roman"/>
          <w:sz w:val="14"/>
          <w:szCs w:val="14"/>
          <w:b w:val="1"/>
          <w:bCs w:val="1"/>
          <w:color w:val="auto"/>
        </w:rPr>
        <w:t>(To Prospectus dated November 28, 2023)</w:t>
      </w:r>
    </w:p>
    <w:p>
      <w:pPr>
        <w:spacing w:after="0" w:line="133" w:lineRule="exact"/>
        <w:rPr>
          <w:sz w:val="24"/>
          <w:szCs w:val="24"/>
          <w:color w:val="auto"/>
        </w:rPr>
      </w:pPr>
    </w:p>
    <w:p>
      <w:pPr>
        <w:ind w:left="4760"/>
        <w:spacing w:after="0"/>
        <w:rPr>
          <w:sz w:val="20"/>
          <w:szCs w:val="20"/>
          <w:color w:val="auto"/>
        </w:rPr>
      </w:pPr>
      <w:r>
        <w:rPr>
          <w:rFonts w:ascii="Times New Roman" w:cs="Times New Roman" w:eastAsia="Times New Roman" w:hAnsi="Times New Roman"/>
          <w:sz w:val="25"/>
          <w:szCs w:val="25"/>
          <w:b w:val="1"/>
          <w:bCs w:val="1"/>
          <w:color w:val="auto"/>
        </w:rPr>
        <w:t>6,032,604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2872740</wp:posOffset>
            </wp:positionH>
            <wp:positionV relativeFrom="paragraph">
              <wp:posOffset>133985</wp:posOffset>
            </wp:positionV>
            <wp:extent cx="1422400" cy="7505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2400" cy="7505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7" w:lineRule="exact"/>
        <w:rPr>
          <w:sz w:val="24"/>
          <w:szCs w:val="24"/>
          <w:color w:val="auto"/>
        </w:rPr>
      </w:pPr>
    </w:p>
    <w:p>
      <w:pPr>
        <w:ind w:left="5020"/>
        <w:spacing w:after="0"/>
        <w:rPr>
          <w:sz w:val="20"/>
          <w:szCs w:val="20"/>
          <w:color w:val="auto"/>
        </w:rPr>
      </w:pPr>
      <w:r>
        <w:rPr>
          <w:rFonts w:ascii="Times New Roman" w:cs="Times New Roman" w:eastAsia="Times New Roman" w:hAnsi="Times New Roman"/>
          <w:sz w:val="19"/>
          <w:szCs w:val="19"/>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3022600</wp:posOffset>
            </wp:positionH>
            <wp:positionV relativeFrom="paragraph">
              <wp:posOffset>193675</wp:posOffset>
            </wp:positionV>
            <wp:extent cx="1122680"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22680" cy="6350"/>
                    </a:xfrm>
                    <a:prstGeom prst="rect">
                      <a:avLst/>
                    </a:prstGeom>
                    <a:noFill/>
                  </pic:spPr>
                </pic:pic>
              </a:graphicData>
            </a:graphic>
          </wp:anchor>
        </w:drawing>
      </w:r>
    </w:p>
    <w:p>
      <w:pPr>
        <w:spacing w:after="0" w:line="200" w:lineRule="exact"/>
        <w:rPr>
          <w:sz w:val="24"/>
          <w:szCs w:val="24"/>
          <w:color w:val="auto"/>
        </w:rPr>
      </w:pPr>
    </w:p>
    <w:p>
      <w:pPr>
        <w:spacing w:after="0" w:line="247" w:lineRule="exact"/>
        <w:rPr>
          <w:sz w:val="24"/>
          <w:szCs w:val="24"/>
          <w:color w:val="auto"/>
        </w:rPr>
      </w:pPr>
    </w:p>
    <w:p>
      <w:pPr>
        <w:ind w:left="1460" w:right="319" w:firstLine="335"/>
        <w:spacing w:after="0" w:line="250" w:lineRule="auto"/>
        <w:rPr>
          <w:sz w:val="20"/>
          <w:szCs w:val="20"/>
          <w:color w:val="auto"/>
        </w:rPr>
      </w:pPr>
      <w:r>
        <w:rPr>
          <w:rFonts w:ascii="Times New Roman" w:cs="Times New Roman" w:eastAsia="Times New Roman" w:hAnsi="Times New Roman"/>
          <w:sz w:val="14"/>
          <w:szCs w:val="14"/>
          <w:color w:val="auto"/>
        </w:rPr>
        <w:t>This prospectus supplement relates to the possible resale from time to time by the selling stockholders named herein of up to 6,032,604 shares of our common stock, $1.00 par value per share (the “Common Stock”). We will not receive any cash proceeds from any sale of the shares of our Common Stock by the selling stockholders. We have agreed to pay certain expenses incurred in connection with the registration of the resale of shares of Common Stock under this prospectus supplement. See “</w:t>
      </w:r>
      <w:r>
        <w:rPr>
          <w:rFonts w:ascii="Times New Roman" w:cs="Times New Roman" w:eastAsia="Times New Roman" w:hAnsi="Times New Roman"/>
          <w:sz w:val="14"/>
          <w:szCs w:val="14"/>
          <w:i w:val="1"/>
          <w:iCs w:val="1"/>
          <w:color w:val="auto"/>
        </w:rPr>
        <w:t>Selling Stockholders</w:t>
      </w:r>
      <w:r>
        <w:rPr>
          <w:rFonts w:ascii="Times New Roman" w:cs="Times New Roman" w:eastAsia="Times New Roman" w:hAnsi="Times New Roman"/>
          <w:sz w:val="14"/>
          <w:szCs w:val="14"/>
          <w:color w:val="auto"/>
        </w:rPr>
        <w:t>” beginning on page S-10 and “</w:t>
      </w:r>
      <w:r>
        <w:rPr>
          <w:rFonts w:ascii="Times New Roman" w:cs="Times New Roman" w:eastAsia="Times New Roman" w:hAnsi="Times New Roman"/>
          <w:sz w:val="14"/>
          <w:szCs w:val="14"/>
          <w:i w:val="1"/>
          <w:iCs w:val="1"/>
          <w:color w:val="auto"/>
        </w:rPr>
        <w:t>Plan of Distribution</w:t>
      </w:r>
      <w:r>
        <w:rPr>
          <w:rFonts w:ascii="Times New Roman" w:cs="Times New Roman" w:eastAsia="Times New Roman" w:hAnsi="Times New Roman"/>
          <w:sz w:val="14"/>
          <w:szCs w:val="14"/>
          <w:color w:val="auto"/>
        </w:rPr>
        <w:t>” beginning on page S-16 for additional information.</w:t>
      </w:r>
    </w:p>
    <w:p>
      <w:pPr>
        <w:spacing w:after="0" w:line="148" w:lineRule="exact"/>
        <w:rPr>
          <w:sz w:val="24"/>
          <w:szCs w:val="24"/>
          <w:color w:val="auto"/>
        </w:rPr>
      </w:pPr>
    </w:p>
    <w:p>
      <w:pPr>
        <w:ind w:left="1460" w:right="419" w:firstLine="335"/>
        <w:spacing w:after="0" w:line="248" w:lineRule="auto"/>
        <w:rPr>
          <w:sz w:val="20"/>
          <w:szCs w:val="20"/>
          <w:color w:val="auto"/>
        </w:rPr>
      </w:pPr>
      <w:r>
        <w:rPr>
          <w:rFonts w:ascii="Times New Roman" w:cs="Times New Roman" w:eastAsia="Times New Roman" w:hAnsi="Times New Roman"/>
          <w:sz w:val="14"/>
          <w:szCs w:val="14"/>
          <w:color w:val="auto"/>
        </w:rPr>
        <w:t>We are registering the securities for resale pursuant to the selling stockholders’ registration rights under certain agreements between us and the selling stockholders. We are registering the resale of shares of our Common Stock to permit the selling stockholders to sell such shares without restriction from time to time as they may determine through public or private transactions or through other means described in “</w:t>
      </w:r>
      <w:r>
        <w:rPr>
          <w:rFonts w:ascii="Times New Roman" w:cs="Times New Roman" w:eastAsia="Times New Roman" w:hAnsi="Times New Roman"/>
          <w:sz w:val="14"/>
          <w:szCs w:val="14"/>
          <w:i w:val="1"/>
          <w:iCs w:val="1"/>
          <w:color w:val="auto"/>
        </w:rPr>
        <w:t>Plan of Distribution</w:t>
      </w:r>
      <w:r>
        <w:rPr>
          <w:rFonts w:ascii="Times New Roman" w:cs="Times New Roman" w:eastAsia="Times New Roman" w:hAnsi="Times New Roman"/>
          <w:sz w:val="14"/>
          <w:szCs w:val="14"/>
          <w:color w:val="auto"/>
        </w:rPr>
        <w:t>” beginning on page S-16. However, the registration of the potential resale shares of our Common Stock hereunder does not necessarily mean that the selling stockholders will sell the shares. The selling stockholders or their permitted transferees or other successors-in-interest may, but are not required to, sell the shares of our Common Stock offered by this prospectus supplement from time to time in a number of different ways and at varying prices as determined by the prevailing market price for shares or in negotiated transactions. See “</w:t>
      </w:r>
      <w:r>
        <w:rPr>
          <w:rFonts w:ascii="Times New Roman" w:cs="Times New Roman" w:eastAsia="Times New Roman" w:hAnsi="Times New Roman"/>
          <w:sz w:val="14"/>
          <w:szCs w:val="14"/>
          <w:i w:val="1"/>
          <w:iCs w:val="1"/>
          <w:color w:val="auto"/>
        </w:rPr>
        <w:t>Plan of Distribution</w:t>
      </w:r>
      <w:r>
        <w:rPr>
          <w:rFonts w:ascii="Times New Roman" w:cs="Times New Roman" w:eastAsia="Times New Roman" w:hAnsi="Times New Roman"/>
          <w:sz w:val="14"/>
          <w:szCs w:val="14"/>
          <w:color w:val="auto"/>
        </w:rPr>
        <w:t>” on page S-16 for a description of how the selling stockholders may dispose of the shares covered by this prospectus supplement.</w:t>
      </w:r>
    </w:p>
    <w:p>
      <w:pPr>
        <w:spacing w:after="0" w:line="149" w:lineRule="exact"/>
        <w:rPr>
          <w:sz w:val="24"/>
          <w:szCs w:val="24"/>
          <w:color w:val="auto"/>
        </w:rPr>
      </w:pPr>
    </w:p>
    <w:p>
      <w:pPr>
        <w:ind w:left="1460" w:right="419" w:firstLine="335"/>
        <w:spacing w:after="0" w:line="267" w:lineRule="auto"/>
        <w:rPr>
          <w:sz w:val="20"/>
          <w:szCs w:val="20"/>
          <w:color w:val="auto"/>
        </w:rPr>
      </w:pPr>
      <w:r>
        <w:rPr>
          <w:rFonts w:ascii="Times New Roman" w:cs="Times New Roman" w:eastAsia="Times New Roman" w:hAnsi="Times New Roman"/>
          <w:sz w:val="14"/>
          <w:szCs w:val="14"/>
          <w:color w:val="auto"/>
        </w:rPr>
        <w:t>Our Common Stock is listed on the New York Stock Exchange (or the “NYSE”) under the symbol “SWX,” and the last reported sale price of our Common Stock on the NYSE on November 25, 2025 was $82.01 per share.</w:t>
      </w:r>
    </w:p>
    <w:p>
      <w:pPr>
        <w:spacing w:after="0" w:line="123" w:lineRule="exact"/>
        <w:rPr>
          <w:sz w:val="24"/>
          <w:szCs w:val="24"/>
          <w:color w:val="auto"/>
        </w:rPr>
      </w:pPr>
    </w:p>
    <w:p>
      <w:pPr>
        <w:ind w:left="1460" w:right="459" w:firstLine="335"/>
        <w:spacing w:after="0" w:line="256" w:lineRule="auto"/>
        <w:rPr>
          <w:sz w:val="20"/>
          <w:szCs w:val="20"/>
          <w:color w:val="auto"/>
        </w:rPr>
      </w:pPr>
      <w:r>
        <w:rPr>
          <w:rFonts w:ascii="Times New Roman" w:cs="Times New Roman" w:eastAsia="Times New Roman" w:hAnsi="Times New Roman"/>
          <w:sz w:val="16"/>
          <w:szCs w:val="16"/>
          <w:b w:val="1"/>
          <w:bCs w:val="1"/>
          <w:color w:val="auto"/>
        </w:rPr>
        <w:t>Investing in shares of our Common Stock involves risks. See “</w:t>
      </w:r>
      <w:r>
        <w:rPr>
          <w:rFonts w:ascii="Times New Roman" w:cs="Times New Roman" w:eastAsia="Times New Roman" w:hAnsi="Times New Roman"/>
          <w:sz w:val="16"/>
          <w:szCs w:val="16"/>
          <w:b w:val="1"/>
          <w:bCs w:val="1"/>
          <w:i w:val="1"/>
          <w:iCs w:val="1"/>
          <w:u w:val="single" w:color="auto"/>
          <w:color w:val="0000EE"/>
        </w:rPr>
        <w:t>Risk Factors</w:t>
      </w:r>
      <w:r>
        <w:rPr>
          <w:rFonts w:ascii="Times New Roman" w:cs="Times New Roman" w:eastAsia="Times New Roman" w:hAnsi="Times New Roman"/>
          <w:sz w:val="16"/>
          <w:szCs w:val="16"/>
          <w:b w:val="1"/>
          <w:bCs w:val="1"/>
          <w:color w:val="auto"/>
        </w:rPr>
        <w:t>” beginning on page S-8 of this prospectus supplement and Item 1A “</w:t>
      </w:r>
      <w:r>
        <w:rPr>
          <w:rFonts w:ascii="Times New Roman" w:cs="Times New Roman" w:eastAsia="Times New Roman" w:hAnsi="Times New Roman"/>
          <w:sz w:val="16"/>
          <w:szCs w:val="16"/>
          <w:b w:val="1"/>
          <w:bCs w:val="1"/>
          <w:i w:val="1"/>
          <w:iCs w:val="1"/>
          <w:color w:val="auto"/>
        </w:rPr>
        <w:t>Risk Factors</w:t>
      </w:r>
      <w:r>
        <w:rPr>
          <w:rFonts w:ascii="Times New Roman" w:cs="Times New Roman" w:eastAsia="Times New Roman" w:hAnsi="Times New Roman"/>
          <w:sz w:val="16"/>
          <w:szCs w:val="16"/>
          <w:b w:val="1"/>
          <w:bCs w:val="1"/>
          <w:color w:val="auto"/>
        </w:rPr>
        <w:t>” beginning on page 16 of our Annual Report on Form 10-K for the year ended December 31, 2024 filed with the Securities and Exchange Commission (the “SEC”) on February 26, 2025, which is incorporated by reference in this prospectus supplement and the accompanying prospectus.</w:t>
      </w:r>
    </w:p>
    <w:p>
      <w:pPr>
        <w:spacing w:after="0" w:line="127" w:lineRule="exact"/>
        <w:rPr>
          <w:sz w:val="24"/>
          <w:szCs w:val="24"/>
          <w:color w:val="auto"/>
        </w:rPr>
      </w:pPr>
    </w:p>
    <w:p>
      <w:pPr>
        <w:ind w:left="1460" w:right="619" w:firstLine="335"/>
        <w:spacing w:after="0" w:line="313" w:lineRule="auto"/>
        <w:rPr>
          <w:sz w:val="20"/>
          <w:szCs w:val="20"/>
          <w:color w:val="auto"/>
        </w:rPr>
      </w:pPr>
      <w:r>
        <w:rPr>
          <w:rFonts w:ascii="Times New Roman" w:cs="Times New Roman" w:eastAsia="Times New Roman" w:hAnsi="Times New Roman"/>
          <w:sz w:val="13"/>
          <w:szCs w:val="13"/>
          <w:b w:val="1"/>
          <w:bCs w:val="1"/>
          <w:color w:val="auto"/>
        </w:rPr>
        <w:t>Neither the SEC nor any state securities commission has approved or disapproved of these securities or determined if this prospectus supplement or the accompanying prospectus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3022600</wp:posOffset>
            </wp:positionH>
            <wp:positionV relativeFrom="paragraph">
              <wp:posOffset>141605</wp:posOffset>
            </wp:positionV>
            <wp:extent cx="1122680"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22680" cy="6350"/>
                    </a:xfrm>
                    <a:prstGeom prst="rect">
                      <a:avLst/>
                    </a:prstGeom>
                    <a:noFill/>
                  </pic:spPr>
                </pic:pic>
              </a:graphicData>
            </a:graphic>
          </wp:anchor>
        </w:drawing>
      </w:r>
    </w:p>
    <w:p>
      <w:pPr>
        <w:spacing w:after="0" w:line="361" w:lineRule="exact"/>
        <w:rPr>
          <w:sz w:val="24"/>
          <w:szCs w:val="24"/>
          <w:color w:val="auto"/>
        </w:rPr>
      </w:pPr>
    </w:p>
    <w:p>
      <w:pPr>
        <w:ind w:left="3840"/>
        <w:spacing w:after="0"/>
        <w:rPr>
          <w:sz w:val="20"/>
          <w:szCs w:val="20"/>
          <w:color w:val="auto"/>
        </w:rPr>
      </w:pPr>
      <w:r>
        <w:rPr>
          <w:rFonts w:ascii="Times New Roman" w:cs="Times New Roman" w:eastAsia="Times New Roman" w:hAnsi="Times New Roman"/>
          <w:sz w:val="14"/>
          <w:szCs w:val="14"/>
          <w:b w:val="1"/>
          <w:bCs w:val="1"/>
          <w:color w:val="auto"/>
        </w:rPr>
        <w:t>The date of this prospectus supplement is November 26, 2025.</w:t>
      </w:r>
    </w:p>
    <w:p>
      <w:pPr>
        <w:sectPr>
          <w:pgSz w:w="11900" w:h="16838" w:orient="portrait"/>
          <w:cols w:equalWidth="0" w:num="1">
            <w:col w:w="10159"/>
          </w:cols>
          <w:pgMar w:left="300" w:top="205"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40"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4"/>
          <w:szCs w:val="14"/>
          <w:b w:val="1"/>
          <w:bCs w:val="1"/>
          <w:color w:val="auto"/>
        </w:rPr>
        <w:t>TABLE OF CONTENTS</w:t>
      </w:r>
    </w:p>
    <w:p>
      <w:pPr>
        <w:spacing w:after="0" w:line="86"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4"/>
          <w:szCs w:val="14"/>
          <w:b w:val="1"/>
          <w:bCs w:val="1"/>
          <w:color w:val="auto"/>
        </w:rPr>
        <w:t>Prospectus Supplement</w:t>
      </w:r>
    </w:p>
    <w:p>
      <w:pPr>
        <w:spacing w:after="0" w:line="178" w:lineRule="exact"/>
        <w:rPr>
          <w:sz w:val="20"/>
          <w:szCs w:val="20"/>
          <w:color w:val="auto"/>
        </w:rPr>
      </w:pPr>
    </w:p>
    <w:tbl>
      <w:tblPr>
        <w:tblLayout w:type="fixed"/>
        <w:tblInd w:w="1460" w:type="dxa"/>
        <w:tblCellMar>
          <w:top w:w="0" w:type="dxa"/>
          <w:left w:w="0" w:type="dxa"/>
          <w:bottom w:w="0" w:type="dxa"/>
          <w:right w:w="0" w:type="dxa"/>
        </w:tblCellMar>
      </w:tblPr>
      <w:tr>
        <w:trPr>
          <w:trHeight w:val="161"/>
        </w:trPr>
        <w:tc>
          <w:tcPr>
            <w:tcW w:w="7860" w:type="dxa"/>
            <w:vAlign w:val="bottom"/>
            <w:gridSpan w:val="22"/>
          </w:tcPr>
          <w:p>
            <w:pPr>
              <w:spacing w:after="0"/>
              <w:rPr>
                <w:sz w:val="20"/>
                <w:szCs w:val="20"/>
                <w:color w:val="auto"/>
              </w:rPr>
            </w:pPr>
            <w:r>
              <w:rPr>
                <w:rFonts w:ascii="Times New Roman" w:cs="Times New Roman" w:eastAsia="Times New Roman" w:hAnsi="Times New Roman"/>
                <w:sz w:val="14"/>
                <w:szCs w:val="14"/>
                <w:color w:val="0000EE"/>
              </w:rPr>
              <w:t>ABOUT THIS PROSPECTUS SUPPLEMENT AND THE PROSPECTUS</w:t>
            </w:r>
          </w:p>
        </w:tc>
        <w:tc>
          <w:tcPr>
            <w:tcW w:w="24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S-1</w:t>
            </w: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44"/>
        </w:trPr>
        <w:tc>
          <w:tcPr>
            <w:tcW w:w="4900" w:type="dxa"/>
            <w:vAlign w:val="bottom"/>
            <w:tcBorders>
              <w:bottom w:val="single" w:sz="8" w:color="0000EE"/>
            </w:tcBorders>
            <w:gridSpan w:val="20"/>
          </w:tcPr>
          <w:p>
            <w:pPr>
              <w:spacing w:after="0" w:line="145" w:lineRule="exact"/>
              <w:rPr>
                <w:sz w:val="20"/>
                <w:szCs w:val="20"/>
                <w:color w:val="auto"/>
              </w:rPr>
            </w:pPr>
            <w:r>
              <w:rPr>
                <w:rFonts w:ascii="Times New Roman" w:cs="Times New Roman" w:eastAsia="Times New Roman" w:hAnsi="Times New Roman"/>
                <w:sz w:val="14"/>
                <w:szCs w:val="14"/>
                <w:color w:val="0000EE"/>
                <w:w w:val="95"/>
              </w:rPr>
              <w:t>CAUTIONARY STATEMENT REGARDING FORWARD-LOOKING INFORMATION</w:t>
            </w:r>
          </w:p>
        </w:tc>
        <w:tc>
          <w:tcPr>
            <w:tcW w:w="2960" w:type="dxa"/>
            <w:vAlign w:val="bottom"/>
            <w:gridSpan w:val="2"/>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S-2</w:t>
            </w:r>
          </w:p>
        </w:tc>
      </w:tr>
      <w:tr>
        <w:trPr>
          <w:trHeight w:val="144"/>
        </w:trPr>
        <w:tc>
          <w:tcPr>
            <w:tcW w:w="2900" w:type="dxa"/>
            <w:vAlign w:val="bottom"/>
            <w:tcBorders>
              <w:bottom w:val="single" w:sz="8" w:color="0000EE"/>
            </w:tcBorders>
            <w:gridSpan w:val="18"/>
          </w:tcPr>
          <w:p>
            <w:pPr>
              <w:spacing w:after="0" w:line="145" w:lineRule="exact"/>
              <w:rPr>
                <w:sz w:val="20"/>
                <w:szCs w:val="20"/>
                <w:color w:val="auto"/>
              </w:rPr>
            </w:pPr>
            <w:r>
              <w:rPr>
                <w:rFonts w:ascii="Times New Roman" w:cs="Times New Roman" w:eastAsia="Times New Roman" w:hAnsi="Times New Roman"/>
                <w:sz w:val="14"/>
                <w:szCs w:val="14"/>
                <w:color w:val="0000EE"/>
                <w:w w:val="96"/>
              </w:rPr>
              <w:t>WHERE YOU CAN FIND MORE INFORMATION</w:t>
            </w:r>
          </w:p>
        </w:tc>
        <w:tc>
          <w:tcPr>
            <w:tcW w:w="4960" w:type="dxa"/>
            <w:vAlign w:val="bottom"/>
            <w:gridSpan w:val="4"/>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S-4</w:t>
            </w:r>
          </w:p>
        </w:tc>
      </w:tr>
      <w:tr>
        <w:trPr>
          <w:trHeight w:val="144"/>
        </w:trPr>
        <w:tc>
          <w:tcPr>
            <w:tcW w:w="2140" w:type="dxa"/>
            <w:vAlign w:val="bottom"/>
            <w:tcBorders>
              <w:bottom w:val="single" w:sz="8" w:color="0000EE"/>
            </w:tcBorders>
            <w:gridSpan w:val="14"/>
          </w:tcPr>
          <w:p>
            <w:pPr>
              <w:spacing w:after="0" w:line="145" w:lineRule="exact"/>
              <w:rPr>
                <w:sz w:val="20"/>
                <w:szCs w:val="20"/>
                <w:color w:val="auto"/>
              </w:rPr>
            </w:pPr>
            <w:r>
              <w:rPr>
                <w:rFonts w:ascii="Times New Roman" w:cs="Times New Roman" w:eastAsia="Times New Roman" w:hAnsi="Times New Roman"/>
                <w:sz w:val="14"/>
                <w:szCs w:val="14"/>
                <w:color w:val="0000EE"/>
                <w:w w:val="95"/>
              </w:rPr>
              <w:t>INCORPORATION BY REFERENCE</w:t>
            </w:r>
          </w:p>
        </w:tc>
        <w:tc>
          <w:tcPr>
            <w:tcW w:w="5720" w:type="dxa"/>
            <w:vAlign w:val="bottom"/>
            <w:gridSpan w:val="8"/>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S-4</w:t>
            </w:r>
          </w:p>
        </w:tc>
      </w:tr>
      <w:tr>
        <w:trPr>
          <w:trHeight w:val="144"/>
        </w:trPr>
        <w:tc>
          <w:tcPr>
            <w:tcW w:w="700" w:type="dxa"/>
            <w:vAlign w:val="bottom"/>
            <w:tcBorders>
              <w:bottom w:val="single" w:sz="8" w:color="0000EE"/>
            </w:tcBorders>
            <w:gridSpan w:val="3"/>
          </w:tcPr>
          <w:p>
            <w:pPr>
              <w:spacing w:after="0" w:line="145" w:lineRule="exact"/>
              <w:rPr>
                <w:sz w:val="20"/>
                <w:szCs w:val="20"/>
                <w:color w:val="auto"/>
              </w:rPr>
            </w:pPr>
            <w:r>
              <w:rPr>
                <w:rFonts w:ascii="Times New Roman" w:cs="Times New Roman" w:eastAsia="Times New Roman" w:hAnsi="Times New Roman"/>
                <w:sz w:val="14"/>
                <w:szCs w:val="14"/>
                <w:color w:val="0000EE"/>
                <w:w w:val="93"/>
              </w:rPr>
              <w:t>SUMMARY</w:t>
            </w:r>
          </w:p>
        </w:tc>
        <w:tc>
          <w:tcPr>
            <w:tcW w:w="7160" w:type="dxa"/>
            <w:vAlign w:val="bottom"/>
            <w:gridSpan w:val="19"/>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S-6</w:t>
            </w:r>
          </w:p>
        </w:tc>
      </w:tr>
      <w:tr>
        <w:trPr>
          <w:trHeight w:val="144"/>
        </w:trPr>
        <w:tc>
          <w:tcPr>
            <w:tcW w:w="7860" w:type="dxa"/>
            <w:vAlign w:val="bottom"/>
            <w:gridSpan w:val="22"/>
          </w:tcPr>
          <w:p>
            <w:pPr>
              <w:spacing w:after="0" w:line="145" w:lineRule="exact"/>
              <w:rPr>
                <w:sz w:val="20"/>
                <w:szCs w:val="20"/>
                <w:color w:val="auto"/>
              </w:rPr>
            </w:pPr>
            <w:r>
              <w:rPr>
                <w:rFonts w:ascii="Times New Roman" w:cs="Times New Roman" w:eastAsia="Times New Roman" w:hAnsi="Times New Roman"/>
                <w:sz w:val="14"/>
                <w:szCs w:val="14"/>
                <w:color w:val="0000EE"/>
              </w:rPr>
              <w:t>THE OFFERING</w:t>
            </w:r>
          </w:p>
        </w:tc>
        <w:tc>
          <w:tcPr>
            <w:tcW w:w="240" w:type="dxa"/>
            <w:vAlign w:val="bottom"/>
          </w:tcPr>
          <w:p>
            <w:pPr>
              <w:spacing w:after="0"/>
              <w:rPr>
                <w:sz w:val="12"/>
                <w:szCs w:val="12"/>
                <w:color w:val="auto"/>
              </w:rPr>
            </w:pPr>
          </w:p>
        </w:tc>
        <w:tc>
          <w:tcPr>
            <w:tcW w:w="24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S-7</w:t>
            </w:r>
          </w:p>
        </w:tc>
      </w:tr>
      <w:tr>
        <w:trPr>
          <w:trHeight w:val="144"/>
        </w:trPr>
        <w:tc>
          <w:tcPr>
            <w:tcW w:w="960" w:type="dxa"/>
            <w:vAlign w:val="bottom"/>
            <w:tcBorders>
              <w:top w:val="single" w:sz="8" w:color="0000EE"/>
            </w:tcBorders>
            <w:gridSpan w:val="5"/>
          </w:tcPr>
          <w:p>
            <w:pPr>
              <w:spacing w:after="0" w:line="145" w:lineRule="exact"/>
              <w:rPr>
                <w:sz w:val="20"/>
                <w:szCs w:val="20"/>
                <w:color w:val="auto"/>
              </w:rPr>
            </w:pPr>
            <w:r>
              <w:rPr>
                <w:rFonts w:ascii="Times New Roman" w:cs="Times New Roman" w:eastAsia="Times New Roman" w:hAnsi="Times New Roman"/>
                <w:sz w:val="14"/>
                <w:szCs w:val="14"/>
                <w:color w:val="0000EE"/>
                <w:w w:val="95"/>
              </w:rPr>
              <w:t>RISK FACTORS</w:t>
            </w:r>
          </w:p>
        </w:tc>
        <w:tc>
          <w:tcPr>
            <w:tcW w:w="6900" w:type="dxa"/>
            <w:vAlign w:val="bottom"/>
            <w:gridSpan w:val="17"/>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S-8</w:t>
            </w: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12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44"/>
        </w:trPr>
        <w:tc>
          <w:tcPr>
            <w:tcW w:w="1200" w:type="dxa"/>
            <w:vAlign w:val="bottom"/>
            <w:tcBorders>
              <w:bottom w:val="single" w:sz="8" w:color="0000EE"/>
            </w:tcBorders>
            <w:gridSpan w:val="8"/>
          </w:tcPr>
          <w:p>
            <w:pPr>
              <w:spacing w:after="0" w:line="145" w:lineRule="exact"/>
              <w:rPr>
                <w:sz w:val="20"/>
                <w:szCs w:val="20"/>
                <w:color w:val="auto"/>
              </w:rPr>
            </w:pPr>
            <w:r>
              <w:rPr>
                <w:rFonts w:ascii="Times New Roman" w:cs="Times New Roman" w:eastAsia="Times New Roman" w:hAnsi="Times New Roman"/>
                <w:sz w:val="14"/>
                <w:szCs w:val="14"/>
                <w:color w:val="0000EE"/>
                <w:w w:val="95"/>
              </w:rPr>
              <w:t>USE OF PROCEEDS</w:t>
            </w:r>
          </w:p>
        </w:tc>
        <w:tc>
          <w:tcPr>
            <w:tcW w:w="6660" w:type="dxa"/>
            <w:vAlign w:val="bottom"/>
            <w:gridSpan w:val="14"/>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S-9</w:t>
            </w:r>
          </w:p>
        </w:tc>
      </w:tr>
      <w:tr>
        <w:trPr>
          <w:trHeight w:val="144"/>
        </w:trPr>
        <w:tc>
          <w:tcPr>
            <w:tcW w:w="1680" w:type="dxa"/>
            <w:vAlign w:val="bottom"/>
            <w:tcBorders>
              <w:bottom w:val="single" w:sz="8" w:color="0000EE"/>
            </w:tcBorders>
            <w:gridSpan w:val="11"/>
          </w:tcPr>
          <w:p>
            <w:pPr>
              <w:spacing w:after="0" w:line="145" w:lineRule="exact"/>
              <w:rPr>
                <w:sz w:val="20"/>
                <w:szCs w:val="20"/>
                <w:color w:val="auto"/>
              </w:rPr>
            </w:pPr>
            <w:r>
              <w:rPr>
                <w:rFonts w:ascii="Times New Roman" w:cs="Times New Roman" w:eastAsia="Times New Roman" w:hAnsi="Times New Roman"/>
                <w:sz w:val="14"/>
                <w:szCs w:val="14"/>
                <w:color w:val="0000EE"/>
                <w:w w:val="95"/>
              </w:rPr>
              <w:t>SELLING STOCKHOLDERS</w:t>
            </w:r>
          </w:p>
        </w:tc>
        <w:tc>
          <w:tcPr>
            <w:tcW w:w="6180" w:type="dxa"/>
            <w:vAlign w:val="bottom"/>
            <w:gridSpan w:val="11"/>
          </w:tcPr>
          <w:p>
            <w:pPr>
              <w:spacing w:after="0"/>
              <w:rPr>
                <w:sz w:val="12"/>
                <w:szCs w:val="12"/>
                <w:color w:val="auto"/>
              </w:rPr>
            </w:pPr>
          </w:p>
        </w:tc>
        <w:tc>
          <w:tcPr>
            <w:tcW w:w="48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4"/>
                <w:szCs w:val="14"/>
                <w:color w:val="auto"/>
              </w:rPr>
              <w:t>S-10</w:t>
            </w:r>
          </w:p>
        </w:tc>
      </w:tr>
      <w:tr>
        <w:trPr>
          <w:trHeight w:val="144"/>
        </w:trPr>
        <w:tc>
          <w:tcPr>
            <w:tcW w:w="7860" w:type="dxa"/>
            <w:vAlign w:val="bottom"/>
            <w:gridSpan w:val="22"/>
          </w:tcPr>
          <w:p>
            <w:pPr>
              <w:spacing w:after="0" w:line="145" w:lineRule="exact"/>
              <w:rPr>
                <w:sz w:val="20"/>
                <w:szCs w:val="20"/>
                <w:color w:val="auto"/>
              </w:rPr>
            </w:pPr>
            <w:r>
              <w:rPr>
                <w:rFonts w:ascii="Times New Roman" w:cs="Times New Roman" w:eastAsia="Times New Roman" w:hAnsi="Times New Roman"/>
                <w:sz w:val="14"/>
                <w:szCs w:val="14"/>
                <w:color w:val="0000EE"/>
                <w:w w:val="99"/>
              </w:rPr>
              <w:t>MATERIAL UNITED STATES FEDERAL INCOME TAX CONSEQUENCES FOR NON-U.S. HOLDERS OF OUR COMMON STOCK</w:t>
            </w:r>
          </w:p>
        </w:tc>
        <w:tc>
          <w:tcPr>
            <w:tcW w:w="48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4"/>
                <w:szCs w:val="14"/>
                <w:color w:val="auto"/>
              </w:rPr>
              <w:t>S-12</w:t>
            </w:r>
          </w:p>
        </w:tc>
      </w:tr>
      <w:tr>
        <w:trPr>
          <w:trHeight w:val="144"/>
        </w:trPr>
        <w:tc>
          <w:tcPr>
            <w:tcW w:w="1560" w:type="dxa"/>
            <w:vAlign w:val="bottom"/>
            <w:tcBorders>
              <w:top w:val="single" w:sz="8" w:color="0000EE"/>
              <w:bottom w:val="single" w:sz="8" w:color="0000EE"/>
            </w:tcBorders>
            <w:gridSpan w:val="10"/>
          </w:tcPr>
          <w:p>
            <w:pPr>
              <w:spacing w:after="0" w:line="145" w:lineRule="exact"/>
              <w:rPr>
                <w:sz w:val="20"/>
                <w:szCs w:val="20"/>
                <w:color w:val="auto"/>
              </w:rPr>
            </w:pPr>
            <w:r>
              <w:rPr>
                <w:rFonts w:ascii="Times New Roman" w:cs="Times New Roman" w:eastAsia="Times New Roman" w:hAnsi="Times New Roman"/>
                <w:sz w:val="14"/>
                <w:szCs w:val="14"/>
                <w:color w:val="0000EE"/>
                <w:w w:val="96"/>
              </w:rPr>
              <w:t>PLAN OF DISTRIBUTION</w:t>
            </w:r>
          </w:p>
        </w:tc>
        <w:tc>
          <w:tcPr>
            <w:tcW w:w="6080" w:type="dxa"/>
            <w:vAlign w:val="bottom"/>
            <w:tcBorders>
              <w:top w:val="single" w:sz="8" w:color="0000EE"/>
            </w:tcBorders>
            <w:gridSpan w:val="11"/>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4"/>
                <w:szCs w:val="14"/>
                <w:color w:val="auto"/>
              </w:rPr>
              <w:t>S-16</w:t>
            </w:r>
          </w:p>
        </w:tc>
      </w:tr>
      <w:tr>
        <w:trPr>
          <w:trHeight w:val="144"/>
        </w:trPr>
        <w:tc>
          <w:tcPr>
            <w:tcW w:w="580" w:type="dxa"/>
            <w:vAlign w:val="bottom"/>
            <w:tcBorders>
              <w:bottom w:val="single" w:sz="8" w:color="0000EE"/>
            </w:tcBorders>
            <w:gridSpan w:val="2"/>
          </w:tcPr>
          <w:p>
            <w:pPr>
              <w:spacing w:after="0" w:line="145" w:lineRule="exact"/>
              <w:rPr>
                <w:sz w:val="20"/>
                <w:szCs w:val="20"/>
                <w:color w:val="auto"/>
              </w:rPr>
            </w:pPr>
            <w:r>
              <w:rPr>
                <w:rFonts w:ascii="Times New Roman" w:cs="Times New Roman" w:eastAsia="Times New Roman" w:hAnsi="Times New Roman"/>
                <w:sz w:val="14"/>
                <w:szCs w:val="14"/>
                <w:color w:val="0000EE"/>
                <w:w w:val="92"/>
              </w:rPr>
              <w:t>EXPERTS</w:t>
            </w:r>
          </w:p>
        </w:tc>
        <w:tc>
          <w:tcPr>
            <w:tcW w:w="7280" w:type="dxa"/>
            <w:vAlign w:val="bottom"/>
            <w:gridSpan w:val="20"/>
          </w:tcPr>
          <w:p>
            <w:pPr>
              <w:spacing w:after="0"/>
              <w:rPr>
                <w:sz w:val="12"/>
                <w:szCs w:val="12"/>
                <w:color w:val="auto"/>
              </w:rPr>
            </w:pPr>
          </w:p>
        </w:tc>
        <w:tc>
          <w:tcPr>
            <w:tcW w:w="48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4"/>
                <w:szCs w:val="14"/>
                <w:color w:val="auto"/>
              </w:rPr>
              <w:t>S-18</w:t>
            </w:r>
          </w:p>
        </w:tc>
      </w:tr>
      <w:tr>
        <w:trPr>
          <w:trHeight w:val="144"/>
        </w:trPr>
        <w:tc>
          <w:tcPr>
            <w:tcW w:w="7860" w:type="dxa"/>
            <w:vAlign w:val="bottom"/>
            <w:gridSpan w:val="22"/>
          </w:tcPr>
          <w:p>
            <w:pPr>
              <w:spacing w:after="0" w:line="145" w:lineRule="exact"/>
              <w:rPr>
                <w:sz w:val="20"/>
                <w:szCs w:val="20"/>
                <w:color w:val="auto"/>
              </w:rPr>
            </w:pPr>
            <w:r>
              <w:rPr>
                <w:rFonts w:ascii="Times New Roman" w:cs="Times New Roman" w:eastAsia="Times New Roman" w:hAnsi="Times New Roman"/>
                <w:sz w:val="14"/>
                <w:szCs w:val="14"/>
                <w:color w:val="0000EE"/>
              </w:rPr>
              <w:t>LEGAL MATTERS</w:t>
            </w:r>
          </w:p>
        </w:tc>
        <w:tc>
          <w:tcPr>
            <w:tcW w:w="48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4"/>
                <w:szCs w:val="14"/>
                <w:color w:val="auto"/>
              </w:rPr>
              <w:t>S-18</w:t>
            </w:r>
          </w:p>
        </w:tc>
      </w:tr>
      <w:tr>
        <w:trPr>
          <w:trHeight w:val="503"/>
        </w:trPr>
        <w:tc>
          <w:tcPr>
            <w:tcW w:w="3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960" w:type="dxa"/>
            <w:vAlign w:val="bottom"/>
            <w:gridSpan w:val="4"/>
          </w:tcPr>
          <w:p>
            <w:pPr>
              <w:ind w:left="960"/>
              <w:spacing w:after="0"/>
              <w:rPr>
                <w:sz w:val="20"/>
                <w:szCs w:val="20"/>
                <w:color w:val="auto"/>
              </w:rPr>
            </w:pPr>
            <w:r>
              <w:rPr>
                <w:rFonts w:ascii="Times New Roman" w:cs="Times New Roman" w:eastAsia="Times New Roman" w:hAnsi="Times New Roman"/>
                <w:sz w:val="14"/>
                <w:szCs w:val="14"/>
                <w:b w:val="1"/>
                <w:bCs w:val="1"/>
                <w:color w:val="auto"/>
              </w:rPr>
              <w:t>Prospectus</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300"/>
        </w:trPr>
        <w:tc>
          <w:tcPr>
            <w:tcW w:w="5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1"/>
                <w:szCs w:val="11"/>
                <w:b w:val="1"/>
                <w:bCs w:val="1"/>
                <w:color w:val="auto"/>
              </w:rPr>
              <w:t>Caption</w:t>
            </w:r>
          </w:p>
        </w:tc>
        <w:tc>
          <w:tcPr>
            <w:tcW w:w="7280" w:type="dxa"/>
            <w:vAlign w:val="bottom"/>
            <w:gridSpan w:val="20"/>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97"/>
              </w:rPr>
              <w:t>Page</w:t>
            </w:r>
          </w:p>
        </w:tc>
      </w:tr>
      <w:tr>
        <w:trPr>
          <w:trHeight w:val="206"/>
        </w:trPr>
        <w:tc>
          <w:tcPr>
            <w:tcW w:w="7860" w:type="dxa"/>
            <w:vAlign w:val="bottom"/>
            <w:gridSpan w:val="22"/>
          </w:tcPr>
          <w:p>
            <w:pPr>
              <w:spacing w:after="0"/>
              <w:rPr>
                <w:sz w:val="20"/>
                <w:szCs w:val="20"/>
                <w:color w:val="auto"/>
              </w:rPr>
            </w:pPr>
            <w:r>
              <w:rPr>
                <w:rFonts w:ascii="Times New Roman" w:cs="Times New Roman" w:eastAsia="Times New Roman" w:hAnsi="Times New Roman"/>
                <w:sz w:val="14"/>
                <w:szCs w:val="14"/>
                <w:color w:val="0000EE"/>
              </w:rPr>
              <w:t>ABOUT THIS PROSPECTUS</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20"/>
        </w:trPr>
        <w:tc>
          <w:tcPr>
            <w:tcW w:w="980" w:type="dxa"/>
            <w:vAlign w:val="bottom"/>
            <w:gridSpan w:val="6"/>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340" w:type="dxa"/>
            <w:vAlign w:val="bottom"/>
            <w:gridSpan w:val="5"/>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r>
      <w:tr>
        <w:trPr>
          <w:trHeight w:val="144"/>
        </w:trPr>
        <w:tc>
          <w:tcPr>
            <w:tcW w:w="4900" w:type="dxa"/>
            <w:vAlign w:val="bottom"/>
            <w:tcBorders>
              <w:bottom w:val="single" w:sz="8" w:color="0000EE"/>
            </w:tcBorders>
            <w:gridSpan w:val="20"/>
          </w:tcPr>
          <w:p>
            <w:pPr>
              <w:spacing w:after="0" w:line="145" w:lineRule="exact"/>
              <w:rPr>
                <w:sz w:val="20"/>
                <w:szCs w:val="20"/>
                <w:color w:val="auto"/>
              </w:rPr>
            </w:pPr>
            <w:r>
              <w:rPr>
                <w:rFonts w:ascii="Times New Roman" w:cs="Times New Roman" w:eastAsia="Times New Roman" w:hAnsi="Times New Roman"/>
                <w:sz w:val="14"/>
                <w:szCs w:val="14"/>
                <w:color w:val="0000EE"/>
                <w:w w:val="95"/>
              </w:rPr>
              <w:t>CAUTIONARY STATEMENT REGARDING FORWARD-LOOKING INFORMATION</w:t>
            </w:r>
          </w:p>
        </w:tc>
        <w:tc>
          <w:tcPr>
            <w:tcW w:w="2960" w:type="dxa"/>
            <w:vAlign w:val="bottom"/>
            <w:gridSpan w:val="2"/>
          </w:tcPr>
          <w:p>
            <w:pPr>
              <w:spacing w:after="0"/>
              <w:rPr>
                <w:sz w:val="12"/>
                <w:szCs w:val="12"/>
                <w:color w:val="auto"/>
              </w:rPr>
            </w:pPr>
          </w:p>
        </w:tc>
        <w:tc>
          <w:tcPr>
            <w:tcW w:w="48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4"/>
                <w:szCs w:val="14"/>
                <w:color w:val="auto"/>
              </w:rPr>
              <w:t>2</w:t>
            </w:r>
          </w:p>
        </w:tc>
      </w:tr>
      <w:tr>
        <w:trPr>
          <w:trHeight w:val="144"/>
        </w:trPr>
        <w:tc>
          <w:tcPr>
            <w:tcW w:w="7860" w:type="dxa"/>
            <w:vAlign w:val="bottom"/>
            <w:gridSpan w:val="22"/>
          </w:tcPr>
          <w:p>
            <w:pPr>
              <w:spacing w:after="0" w:line="145" w:lineRule="exact"/>
              <w:rPr>
                <w:sz w:val="20"/>
                <w:szCs w:val="20"/>
                <w:color w:val="auto"/>
              </w:rPr>
            </w:pPr>
            <w:r>
              <w:rPr>
                <w:rFonts w:ascii="Times New Roman" w:cs="Times New Roman" w:eastAsia="Times New Roman" w:hAnsi="Times New Roman"/>
                <w:sz w:val="14"/>
                <w:szCs w:val="14"/>
                <w:color w:val="0000EE"/>
              </w:rPr>
              <w:t>OUR COMPANY</w:t>
            </w:r>
          </w:p>
        </w:tc>
        <w:tc>
          <w:tcPr>
            <w:tcW w:w="48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4"/>
                <w:szCs w:val="14"/>
                <w:color w:val="auto"/>
              </w:rPr>
              <w:t>4</w:t>
            </w:r>
          </w:p>
        </w:tc>
      </w:tr>
      <w:tr>
        <w:trPr>
          <w:trHeight w:val="144"/>
        </w:trPr>
        <w:tc>
          <w:tcPr>
            <w:tcW w:w="980" w:type="dxa"/>
            <w:vAlign w:val="bottom"/>
            <w:tcBorders>
              <w:top w:val="single" w:sz="8" w:color="0000EE"/>
            </w:tcBorders>
            <w:gridSpan w:val="6"/>
          </w:tcPr>
          <w:p>
            <w:pPr>
              <w:spacing w:after="0" w:line="145" w:lineRule="exact"/>
              <w:rPr>
                <w:sz w:val="20"/>
                <w:szCs w:val="20"/>
                <w:color w:val="auto"/>
              </w:rPr>
            </w:pPr>
            <w:r>
              <w:rPr>
                <w:rFonts w:ascii="Times New Roman" w:cs="Times New Roman" w:eastAsia="Times New Roman" w:hAnsi="Times New Roman"/>
                <w:sz w:val="14"/>
                <w:szCs w:val="14"/>
                <w:color w:val="0000EE"/>
                <w:w w:val="97"/>
              </w:rPr>
              <w:t>RISK FACTORS</w:t>
            </w:r>
          </w:p>
        </w:tc>
        <w:tc>
          <w:tcPr>
            <w:tcW w:w="6880" w:type="dxa"/>
            <w:vAlign w:val="bottom"/>
            <w:gridSpan w:val="16"/>
          </w:tcPr>
          <w:p>
            <w:pPr>
              <w:spacing w:after="0"/>
              <w:rPr>
                <w:sz w:val="12"/>
                <w:szCs w:val="12"/>
                <w:color w:val="auto"/>
              </w:rPr>
            </w:pPr>
          </w:p>
        </w:tc>
        <w:tc>
          <w:tcPr>
            <w:tcW w:w="48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4"/>
                <w:szCs w:val="14"/>
                <w:color w:val="auto"/>
              </w:rPr>
              <w:t>5</w:t>
            </w:r>
          </w:p>
        </w:tc>
      </w:tr>
      <w:tr>
        <w:trPr>
          <w:trHeight w:val="20"/>
        </w:trPr>
        <w:tc>
          <w:tcPr>
            <w:tcW w:w="940" w:type="dxa"/>
            <w:vAlign w:val="bottom"/>
            <w:gridSpan w:val="4"/>
            <w:shd w:val="clear" w:color="auto" w:fill="0000EE"/>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340" w:type="dxa"/>
            <w:vAlign w:val="bottom"/>
            <w:gridSpan w:val="5"/>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r>
      <w:tr>
        <w:trPr>
          <w:trHeight w:val="144"/>
        </w:trPr>
        <w:tc>
          <w:tcPr>
            <w:tcW w:w="1200" w:type="dxa"/>
            <w:vAlign w:val="bottom"/>
            <w:tcBorders>
              <w:bottom w:val="single" w:sz="8" w:color="0000EE"/>
            </w:tcBorders>
            <w:gridSpan w:val="8"/>
          </w:tcPr>
          <w:p>
            <w:pPr>
              <w:spacing w:after="0" w:line="145" w:lineRule="exact"/>
              <w:rPr>
                <w:sz w:val="20"/>
                <w:szCs w:val="20"/>
                <w:color w:val="auto"/>
              </w:rPr>
            </w:pPr>
            <w:r>
              <w:rPr>
                <w:rFonts w:ascii="Times New Roman" w:cs="Times New Roman" w:eastAsia="Times New Roman" w:hAnsi="Times New Roman"/>
                <w:sz w:val="14"/>
                <w:szCs w:val="14"/>
                <w:color w:val="0000EE"/>
                <w:w w:val="95"/>
              </w:rPr>
              <w:t>USE OF PROCEEDS</w:t>
            </w:r>
          </w:p>
        </w:tc>
        <w:tc>
          <w:tcPr>
            <w:tcW w:w="6660" w:type="dxa"/>
            <w:vAlign w:val="bottom"/>
            <w:gridSpan w:val="14"/>
          </w:tcPr>
          <w:p>
            <w:pPr>
              <w:spacing w:after="0"/>
              <w:rPr>
                <w:sz w:val="12"/>
                <w:szCs w:val="12"/>
                <w:color w:val="auto"/>
              </w:rPr>
            </w:pPr>
          </w:p>
        </w:tc>
        <w:tc>
          <w:tcPr>
            <w:tcW w:w="48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4"/>
                <w:szCs w:val="14"/>
                <w:color w:val="auto"/>
              </w:rPr>
              <w:t>5</w:t>
            </w:r>
          </w:p>
        </w:tc>
      </w:tr>
      <w:tr>
        <w:trPr>
          <w:trHeight w:val="144"/>
        </w:trPr>
        <w:tc>
          <w:tcPr>
            <w:tcW w:w="2180" w:type="dxa"/>
            <w:vAlign w:val="bottom"/>
            <w:tcBorders>
              <w:bottom w:val="single" w:sz="8" w:color="0000EE"/>
            </w:tcBorders>
            <w:gridSpan w:val="15"/>
          </w:tcPr>
          <w:p>
            <w:pPr>
              <w:spacing w:after="0" w:line="145" w:lineRule="exact"/>
              <w:rPr>
                <w:sz w:val="20"/>
                <w:szCs w:val="20"/>
                <w:color w:val="auto"/>
              </w:rPr>
            </w:pPr>
            <w:r>
              <w:rPr>
                <w:rFonts w:ascii="Times New Roman" w:cs="Times New Roman" w:eastAsia="Times New Roman" w:hAnsi="Times New Roman"/>
                <w:sz w:val="14"/>
                <w:szCs w:val="14"/>
                <w:color w:val="0000EE"/>
                <w:w w:val="96"/>
              </w:rPr>
              <w:t>DESCRIPTION OF CAPITAL STOCK</w:t>
            </w:r>
          </w:p>
        </w:tc>
        <w:tc>
          <w:tcPr>
            <w:tcW w:w="5680" w:type="dxa"/>
            <w:vAlign w:val="bottom"/>
            <w:gridSpan w:val="7"/>
          </w:tcPr>
          <w:p>
            <w:pPr>
              <w:spacing w:after="0"/>
              <w:rPr>
                <w:sz w:val="12"/>
                <w:szCs w:val="12"/>
                <w:color w:val="auto"/>
              </w:rPr>
            </w:pPr>
          </w:p>
        </w:tc>
        <w:tc>
          <w:tcPr>
            <w:tcW w:w="48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4"/>
                <w:szCs w:val="14"/>
                <w:color w:val="auto"/>
              </w:rPr>
              <w:t>6</w:t>
            </w:r>
          </w:p>
        </w:tc>
      </w:tr>
      <w:tr>
        <w:trPr>
          <w:trHeight w:val="144"/>
        </w:trPr>
        <w:tc>
          <w:tcPr>
            <w:tcW w:w="2300" w:type="dxa"/>
            <w:vAlign w:val="bottom"/>
            <w:tcBorders>
              <w:bottom w:val="single" w:sz="8" w:color="0000EE"/>
            </w:tcBorders>
            <w:gridSpan w:val="16"/>
          </w:tcPr>
          <w:p>
            <w:pPr>
              <w:spacing w:after="0" w:line="145" w:lineRule="exact"/>
              <w:rPr>
                <w:sz w:val="20"/>
                <w:szCs w:val="20"/>
                <w:color w:val="auto"/>
              </w:rPr>
            </w:pPr>
            <w:r>
              <w:rPr>
                <w:rFonts w:ascii="Times New Roman" w:cs="Times New Roman" w:eastAsia="Times New Roman" w:hAnsi="Times New Roman"/>
                <w:sz w:val="14"/>
                <w:szCs w:val="14"/>
                <w:color w:val="0000EE"/>
                <w:w w:val="96"/>
              </w:rPr>
              <w:t>DESCRIPTION OF DEBT SECURITIES</w:t>
            </w:r>
          </w:p>
        </w:tc>
        <w:tc>
          <w:tcPr>
            <w:tcW w:w="5560" w:type="dxa"/>
            <w:vAlign w:val="bottom"/>
            <w:gridSpan w:val="6"/>
          </w:tcPr>
          <w:p>
            <w:pPr>
              <w:spacing w:after="0"/>
              <w:rPr>
                <w:sz w:val="12"/>
                <w:szCs w:val="12"/>
                <w:color w:val="auto"/>
              </w:rPr>
            </w:pPr>
          </w:p>
        </w:tc>
        <w:tc>
          <w:tcPr>
            <w:tcW w:w="48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4"/>
                <w:szCs w:val="14"/>
                <w:color w:val="auto"/>
              </w:rPr>
              <w:t>11</w:t>
            </w:r>
          </w:p>
        </w:tc>
      </w:tr>
      <w:tr>
        <w:trPr>
          <w:trHeight w:val="144"/>
        </w:trPr>
        <w:tc>
          <w:tcPr>
            <w:tcW w:w="2040" w:type="dxa"/>
            <w:vAlign w:val="bottom"/>
            <w:tcBorders>
              <w:bottom w:val="single" w:sz="8" w:color="0000EE"/>
            </w:tcBorders>
            <w:gridSpan w:val="13"/>
          </w:tcPr>
          <w:p>
            <w:pPr>
              <w:spacing w:after="0" w:line="145" w:lineRule="exact"/>
              <w:rPr>
                <w:sz w:val="20"/>
                <w:szCs w:val="20"/>
                <w:color w:val="auto"/>
              </w:rPr>
            </w:pPr>
            <w:r>
              <w:rPr>
                <w:rFonts w:ascii="Times New Roman" w:cs="Times New Roman" w:eastAsia="Times New Roman" w:hAnsi="Times New Roman"/>
                <w:sz w:val="14"/>
                <w:szCs w:val="14"/>
                <w:color w:val="0000EE"/>
                <w:w w:val="96"/>
              </w:rPr>
              <w:t>DESCRIPTION OF GUARANTEES</w:t>
            </w:r>
          </w:p>
        </w:tc>
        <w:tc>
          <w:tcPr>
            <w:tcW w:w="5820" w:type="dxa"/>
            <w:vAlign w:val="bottom"/>
            <w:gridSpan w:val="9"/>
          </w:tcPr>
          <w:p>
            <w:pPr>
              <w:spacing w:after="0"/>
              <w:rPr>
                <w:sz w:val="12"/>
                <w:szCs w:val="12"/>
                <w:color w:val="auto"/>
              </w:rPr>
            </w:pPr>
          </w:p>
        </w:tc>
        <w:tc>
          <w:tcPr>
            <w:tcW w:w="48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4"/>
                <w:szCs w:val="14"/>
                <w:color w:val="auto"/>
              </w:rPr>
              <w:t>18</w:t>
            </w:r>
          </w:p>
        </w:tc>
      </w:tr>
      <w:tr>
        <w:trPr>
          <w:trHeight w:val="144"/>
        </w:trPr>
        <w:tc>
          <w:tcPr>
            <w:tcW w:w="2520" w:type="dxa"/>
            <w:vAlign w:val="bottom"/>
            <w:tcBorders>
              <w:bottom w:val="single" w:sz="8" w:color="0000EE"/>
            </w:tcBorders>
            <w:gridSpan w:val="17"/>
          </w:tcPr>
          <w:p>
            <w:pPr>
              <w:spacing w:after="0" w:line="145" w:lineRule="exact"/>
              <w:rPr>
                <w:sz w:val="20"/>
                <w:szCs w:val="20"/>
                <w:color w:val="auto"/>
              </w:rPr>
            </w:pPr>
            <w:r>
              <w:rPr>
                <w:rFonts w:ascii="Times New Roman" w:cs="Times New Roman" w:eastAsia="Times New Roman" w:hAnsi="Times New Roman"/>
                <w:sz w:val="14"/>
                <w:szCs w:val="14"/>
                <w:color w:val="0000EE"/>
                <w:w w:val="96"/>
              </w:rPr>
              <w:t>DESCRIPTION OF DEPOSITARY SHARES</w:t>
            </w:r>
          </w:p>
        </w:tc>
        <w:tc>
          <w:tcPr>
            <w:tcW w:w="5340" w:type="dxa"/>
            <w:vAlign w:val="bottom"/>
            <w:gridSpan w:val="5"/>
          </w:tcPr>
          <w:p>
            <w:pPr>
              <w:spacing w:after="0"/>
              <w:rPr>
                <w:sz w:val="12"/>
                <w:szCs w:val="12"/>
                <w:color w:val="auto"/>
              </w:rPr>
            </w:pPr>
          </w:p>
        </w:tc>
        <w:tc>
          <w:tcPr>
            <w:tcW w:w="48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4"/>
                <w:szCs w:val="14"/>
                <w:color w:val="auto"/>
              </w:rPr>
              <w:t>20</w:t>
            </w:r>
          </w:p>
        </w:tc>
      </w:tr>
      <w:tr>
        <w:trPr>
          <w:trHeight w:val="144"/>
        </w:trPr>
        <w:tc>
          <w:tcPr>
            <w:tcW w:w="1880" w:type="dxa"/>
            <w:vAlign w:val="bottom"/>
            <w:tcBorders>
              <w:bottom w:val="single" w:sz="8" w:color="0000EE"/>
            </w:tcBorders>
            <w:gridSpan w:val="12"/>
          </w:tcPr>
          <w:p>
            <w:pPr>
              <w:spacing w:after="0" w:line="145" w:lineRule="exact"/>
              <w:rPr>
                <w:sz w:val="20"/>
                <w:szCs w:val="20"/>
                <w:color w:val="auto"/>
              </w:rPr>
            </w:pPr>
            <w:r>
              <w:rPr>
                <w:rFonts w:ascii="Times New Roman" w:cs="Times New Roman" w:eastAsia="Times New Roman" w:hAnsi="Times New Roman"/>
                <w:sz w:val="14"/>
                <w:szCs w:val="14"/>
                <w:color w:val="0000EE"/>
                <w:w w:val="95"/>
              </w:rPr>
              <w:t>DESCRIPTION OF WARRANTS</w:t>
            </w:r>
          </w:p>
        </w:tc>
        <w:tc>
          <w:tcPr>
            <w:tcW w:w="5980" w:type="dxa"/>
            <w:vAlign w:val="bottom"/>
            <w:gridSpan w:val="10"/>
          </w:tcPr>
          <w:p>
            <w:pPr>
              <w:spacing w:after="0"/>
              <w:rPr>
                <w:sz w:val="12"/>
                <w:szCs w:val="12"/>
                <w:color w:val="auto"/>
              </w:rPr>
            </w:pPr>
          </w:p>
        </w:tc>
        <w:tc>
          <w:tcPr>
            <w:tcW w:w="48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4"/>
                <w:szCs w:val="14"/>
                <w:color w:val="auto"/>
              </w:rPr>
              <w:t>21</w:t>
            </w:r>
          </w:p>
        </w:tc>
      </w:tr>
      <w:tr>
        <w:trPr>
          <w:trHeight w:val="144"/>
        </w:trPr>
        <w:tc>
          <w:tcPr>
            <w:tcW w:w="7860" w:type="dxa"/>
            <w:vAlign w:val="bottom"/>
            <w:gridSpan w:val="22"/>
          </w:tcPr>
          <w:p>
            <w:pPr>
              <w:spacing w:after="0" w:line="145" w:lineRule="exact"/>
              <w:rPr>
                <w:sz w:val="20"/>
                <w:szCs w:val="20"/>
                <w:color w:val="auto"/>
              </w:rPr>
            </w:pPr>
            <w:r>
              <w:rPr>
                <w:rFonts w:ascii="Times New Roman" w:cs="Times New Roman" w:eastAsia="Times New Roman" w:hAnsi="Times New Roman"/>
                <w:sz w:val="14"/>
                <w:szCs w:val="14"/>
                <w:color w:val="0000EE"/>
              </w:rPr>
              <w:t>DESCRIPTION OF UNITS</w:t>
            </w:r>
          </w:p>
        </w:tc>
        <w:tc>
          <w:tcPr>
            <w:tcW w:w="48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4"/>
                <w:szCs w:val="14"/>
                <w:color w:val="auto"/>
              </w:rPr>
              <w:t>23</w:t>
            </w:r>
          </w:p>
        </w:tc>
      </w:tr>
      <w:tr>
        <w:trPr>
          <w:trHeight w:val="20"/>
        </w:trPr>
        <w:tc>
          <w:tcPr>
            <w:tcW w:w="1100" w:type="dxa"/>
            <w:vAlign w:val="bottom"/>
            <w:gridSpan w:val="7"/>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180" w:type="dxa"/>
            <w:vAlign w:val="bottom"/>
            <w:gridSpan w:val="11"/>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r>
      <w:tr>
        <w:trPr>
          <w:trHeight w:val="144"/>
        </w:trPr>
        <w:tc>
          <w:tcPr>
            <w:tcW w:w="1680" w:type="dxa"/>
            <w:vAlign w:val="bottom"/>
            <w:tcBorders>
              <w:bottom w:val="single" w:sz="8" w:color="0000EE"/>
            </w:tcBorders>
            <w:gridSpan w:val="11"/>
          </w:tcPr>
          <w:p>
            <w:pPr>
              <w:spacing w:after="0" w:line="145" w:lineRule="exact"/>
              <w:rPr>
                <w:sz w:val="20"/>
                <w:szCs w:val="20"/>
                <w:color w:val="auto"/>
              </w:rPr>
            </w:pPr>
            <w:r>
              <w:rPr>
                <w:rFonts w:ascii="Times New Roman" w:cs="Times New Roman" w:eastAsia="Times New Roman" w:hAnsi="Times New Roman"/>
                <w:sz w:val="14"/>
                <w:szCs w:val="14"/>
                <w:color w:val="0000EE"/>
                <w:w w:val="98"/>
              </w:rPr>
              <w:t>DESCRIPTION OF RIGHTS</w:t>
            </w:r>
          </w:p>
        </w:tc>
        <w:tc>
          <w:tcPr>
            <w:tcW w:w="6180" w:type="dxa"/>
            <w:vAlign w:val="bottom"/>
            <w:gridSpan w:val="11"/>
          </w:tcPr>
          <w:p>
            <w:pPr>
              <w:spacing w:after="0"/>
              <w:rPr>
                <w:sz w:val="12"/>
                <w:szCs w:val="12"/>
                <w:color w:val="auto"/>
              </w:rPr>
            </w:pPr>
          </w:p>
        </w:tc>
        <w:tc>
          <w:tcPr>
            <w:tcW w:w="48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4"/>
                <w:szCs w:val="14"/>
                <w:color w:val="auto"/>
              </w:rPr>
              <w:t>24</w:t>
            </w:r>
          </w:p>
        </w:tc>
      </w:tr>
      <w:tr>
        <w:trPr>
          <w:trHeight w:val="144"/>
        </w:trPr>
        <w:tc>
          <w:tcPr>
            <w:tcW w:w="1560" w:type="dxa"/>
            <w:vAlign w:val="bottom"/>
            <w:tcBorders>
              <w:bottom w:val="single" w:sz="8" w:color="0000EE"/>
            </w:tcBorders>
            <w:gridSpan w:val="10"/>
          </w:tcPr>
          <w:p>
            <w:pPr>
              <w:spacing w:after="0" w:line="145" w:lineRule="exact"/>
              <w:rPr>
                <w:sz w:val="20"/>
                <w:szCs w:val="20"/>
                <w:color w:val="auto"/>
              </w:rPr>
            </w:pPr>
            <w:r>
              <w:rPr>
                <w:rFonts w:ascii="Times New Roman" w:cs="Times New Roman" w:eastAsia="Times New Roman" w:hAnsi="Times New Roman"/>
                <w:sz w:val="14"/>
                <w:szCs w:val="14"/>
                <w:color w:val="0000EE"/>
                <w:w w:val="96"/>
              </w:rPr>
              <w:t>PLAN OF DISTRIBUTION</w:t>
            </w:r>
          </w:p>
        </w:tc>
        <w:tc>
          <w:tcPr>
            <w:tcW w:w="6300" w:type="dxa"/>
            <w:vAlign w:val="bottom"/>
            <w:gridSpan w:val="12"/>
          </w:tcPr>
          <w:p>
            <w:pPr>
              <w:spacing w:after="0"/>
              <w:rPr>
                <w:sz w:val="12"/>
                <w:szCs w:val="12"/>
                <w:color w:val="auto"/>
              </w:rPr>
            </w:pPr>
          </w:p>
        </w:tc>
        <w:tc>
          <w:tcPr>
            <w:tcW w:w="48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4"/>
                <w:szCs w:val="14"/>
                <w:color w:val="auto"/>
              </w:rPr>
              <w:t>25</w:t>
            </w:r>
          </w:p>
        </w:tc>
      </w:tr>
      <w:tr>
        <w:trPr>
          <w:trHeight w:val="144"/>
        </w:trPr>
        <w:tc>
          <w:tcPr>
            <w:tcW w:w="2900" w:type="dxa"/>
            <w:vAlign w:val="bottom"/>
            <w:tcBorders>
              <w:bottom w:val="single" w:sz="8" w:color="0000EE"/>
            </w:tcBorders>
            <w:gridSpan w:val="18"/>
          </w:tcPr>
          <w:p>
            <w:pPr>
              <w:spacing w:after="0" w:line="145" w:lineRule="exact"/>
              <w:rPr>
                <w:sz w:val="20"/>
                <w:szCs w:val="20"/>
                <w:color w:val="auto"/>
              </w:rPr>
            </w:pPr>
            <w:r>
              <w:rPr>
                <w:rFonts w:ascii="Times New Roman" w:cs="Times New Roman" w:eastAsia="Times New Roman" w:hAnsi="Times New Roman"/>
                <w:sz w:val="14"/>
                <w:szCs w:val="14"/>
                <w:color w:val="0000EE"/>
                <w:w w:val="96"/>
              </w:rPr>
              <w:t>WHERE YOU CAN FIND MORE INFORMATION</w:t>
            </w:r>
          </w:p>
        </w:tc>
        <w:tc>
          <w:tcPr>
            <w:tcW w:w="4960" w:type="dxa"/>
            <w:vAlign w:val="bottom"/>
            <w:gridSpan w:val="4"/>
          </w:tcPr>
          <w:p>
            <w:pPr>
              <w:spacing w:after="0"/>
              <w:rPr>
                <w:sz w:val="12"/>
                <w:szCs w:val="12"/>
                <w:color w:val="auto"/>
              </w:rPr>
            </w:pPr>
          </w:p>
        </w:tc>
        <w:tc>
          <w:tcPr>
            <w:tcW w:w="48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4"/>
                <w:szCs w:val="14"/>
                <w:color w:val="auto"/>
              </w:rPr>
              <w:t>26</w:t>
            </w:r>
          </w:p>
        </w:tc>
      </w:tr>
      <w:tr>
        <w:trPr>
          <w:trHeight w:val="144"/>
        </w:trPr>
        <w:tc>
          <w:tcPr>
            <w:tcW w:w="2140" w:type="dxa"/>
            <w:vAlign w:val="bottom"/>
            <w:tcBorders>
              <w:bottom w:val="single" w:sz="8" w:color="0000EE"/>
            </w:tcBorders>
            <w:gridSpan w:val="14"/>
          </w:tcPr>
          <w:p>
            <w:pPr>
              <w:spacing w:after="0" w:line="145" w:lineRule="exact"/>
              <w:rPr>
                <w:sz w:val="20"/>
                <w:szCs w:val="20"/>
                <w:color w:val="auto"/>
              </w:rPr>
            </w:pPr>
            <w:r>
              <w:rPr>
                <w:rFonts w:ascii="Times New Roman" w:cs="Times New Roman" w:eastAsia="Times New Roman" w:hAnsi="Times New Roman"/>
                <w:sz w:val="14"/>
                <w:szCs w:val="14"/>
                <w:color w:val="0000EE"/>
                <w:w w:val="95"/>
              </w:rPr>
              <w:t>INCORPORATION BY REFERENCE</w:t>
            </w:r>
          </w:p>
        </w:tc>
        <w:tc>
          <w:tcPr>
            <w:tcW w:w="5720" w:type="dxa"/>
            <w:vAlign w:val="bottom"/>
            <w:gridSpan w:val="8"/>
          </w:tcPr>
          <w:p>
            <w:pPr>
              <w:spacing w:after="0"/>
              <w:rPr>
                <w:sz w:val="12"/>
                <w:szCs w:val="12"/>
                <w:color w:val="auto"/>
              </w:rPr>
            </w:pPr>
          </w:p>
        </w:tc>
        <w:tc>
          <w:tcPr>
            <w:tcW w:w="48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4"/>
                <w:szCs w:val="14"/>
                <w:color w:val="auto"/>
              </w:rPr>
              <w:t>27</w:t>
            </w:r>
          </w:p>
        </w:tc>
      </w:tr>
      <w:tr>
        <w:trPr>
          <w:trHeight w:val="144"/>
        </w:trPr>
        <w:tc>
          <w:tcPr>
            <w:tcW w:w="580" w:type="dxa"/>
            <w:vAlign w:val="bottom"/>
            <w:tcBorders>
              <w:bottom w:val="single" w:sz="8" w:color="0000EE"/>
            </w:tcBorders>
            <w:gridSpan w:val="2"/>
          </w:tcPr>
          <w:p>
            <w:pPr>
              <w:spacing w:after="0" w:line="145" w:lineRule="exact"/>
              <w:rPr>
                <w:sz w:val="20"/>
                <w:szCs w:val="20"/>
                <w:color w:val="auto"/>
              </w:rPr>
            </w:pPr>
            <w:r>
              <w:rPr>
                <w:rFonts w:ascii="Times New Roman" w:cs="Times New Roman" w:eastAsia="Times New Roman" w:hAnsi="Times New Roman"/>
                <w:sz w:val="14"/>
                <w:szCs w:val="14"/>
                <w:color w:val="0000EE"/>
                <w:w w:val="92"/>
              </w:rPr>
              <w:t>EXPERTS</w:t>
            </w:r>
          </w:p>
        </w:tc>
        <w:tc>
          <w:tcPr>
            <w:tcW w:w="7280" w:type="dxa"/>
            <w:vAlign w:val="bottom"/>
            <w:gridSpan w:val="20"/>
          </w:tcPr>
          <w:p>
            <w:pPr>
              <w:spacing w:after="0"/>
              <w:rPr>
                <w:sz w:val="12"/>
                <w:szCs w:val="12"/>
                <w:color w:val="auto"/>
              </w:rPr>
            </w:pPr>
          </w:p>
        </w:tc>
        <w:tc>
          <w:tcPr>
            <w:tcW w:w="48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4"/>
                <w:szCs w:val="14"/>
                <w:color w:val="auto"/>
              </w:rPr>
              <w:t>28</w:t>
            </w:r>
          </w:p>
        </w:tc>
      </w:tr>
      <w:tr>
        <w:trPr>
          <w:trHeight w:val="144"/>
        </w:trPr>
        <w:tc>
          <w:tcPr>
            <w:tcW w:w="1100" w:type="dxa"/>
            <w:vAlign w:val="bottom"/>
            <w:tcBorders>
              <w:bottom w:val="single" w:sz="8" w:color="0000EE"/>
            </w:tcBorders>
            <w:gridSpan w:val="7"/>
          </w:tcPr>
          <w:p>
            <w:pPr>
              <w:spacing w:after="0" w:line="145" w:lineRule="exact"/>
              <w:rPr>
                <w:sz w:val="20"/>
                <w:szCs w:val="20"/>
                <w:color w:val="auto"/>
              </w:rPr>
            </w:pPr>
            <w:r>
              <w:rPr>
                <w:rFonts w:ascii="Times New Roman" w:cs="Times New Roman" w:eastAsia="Times New Roman" w:hAnsi="Times New Roman"/>
                <w:sz w:val="14"/>
                <w:szCs w:val="14"/>
                <w:color w:val="0000EE"/>
                <w:w w:val="94"/>
              </w:rPr>
              <w:t>LEGAL MATTERS</w:t>
            </w:r>
          </w:p>
        </w:tc>
        <w:tc>
          <w:tcPr>
            <w:tcW w:w="6760" w:type="dxa"/>
            <w:vAlign w:val="bottom"/>
            <w:gridSpan w:val="15"/>
          </w:tcPr>
          <w:p>
            <w:pPr>
              <w:spacing w:after="0"/>
              <w:rPr>
                <w:sz w:val="12"/>
                <w:szCs w:val="12"/>
                <w:color w:val="auto"/>
              </w:rPr>
            </w:pPr>
          </w:p>
        </w:tc>
        <w:tc>
          <w:tcPr>
            <w:tcW w:w="48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4"/>
                <w:szCs w:val="14"/>
                <w:color w:val="auto"/>
              </w:rPr>
              <w:t>28</w:t>
            </w:r>
          </w:p>
        </w:tc>
      </w:tr>
    </w:tbl>
    <w:p>
      <w:pPr>
        <w:spacing w:after="0" w:line="168" w:lineRule="exact"/>
        <w:rPr>
          <w:sz w:val="20"/>
          <w:szCs w:val="20"/>
          <w:color w:val="auto"/>
        </w:rPr>
      </w:pPr>
    </w:p>
    <w:p>
      <w:pPr>
        <w:ind w:left="1460" w:right="359" w:firstLine="335"/>
        <w:spacing w:after="0" w:line="248" w:lineRule="auto"/>
        <w:rPr>
          <w:sz w:val="20"/>
          <w:szCs w:val="20"/>
          <w:color w:val="auto"/>
        </w:rPr>
      </w:pPr>
      <w:r>
        <w:rPr>
          <w:rFonts w:ascii="Times New Roman" w:cs="Times New Roman" w:eastAsia="Times New Roman" w:hAnsi="Times New Roman"/>
          <w:sz w:val="14"/>
          <w:szCs w:val="14"/>
          <w:b w:val="1"/>
          <w:bCs w:val="1"/>
          <w:color w:val="auto"/>
        </w:rPr>
        <w:t>You should rely only on the information contained or incorporated by reference in this prospectus supplement, the accompanying prospectus or in any free writing prospectus that we may provide you in connection with the sale of our Common Stock offered hereby. Neither we nor the selling stockholders have authorized anyone to provide you with different information. If anyone provides you with different or inconsistent information, you should not rely on it. Neither we nor the selling stockholders are making an offer to sell any securities in any jurisdiction where such offer or sale is not permitted. You should not assume that the information appearing in this prospectus supplement, the accompanying prospectus or the documents incorporated herein or therein by reference is accurate as of any date other than their respective dates. Our business, financial condition, results of operations and prospects may have changed since those dates. Any information contained on or accessible through our internet site is not incorporated herein and does not constitute part of this prospectus supplement or the accompanying prospectus.</w:t>
      </w:r>
    </w:p>
    <w:p>
      <w:pPr>
        <w:sectPr>
          <w:pgSz w:w="11900" w:h="16838" w:orient="portrait"/>
          <w:cols w:equalWidth="0" w:num="1">
            <w:col w:w="10159"/>
          </w:cols>
          <w:pgMar w:left="300" w:top="380"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40"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4"/>
          <w:szCs w:val="14"/>
          <w:b w:val="1"/>
          <w:bCs w:val="1"/>
          <w:color w:val="auto"/>
        </w:rPr>
        <w:t>ABOUT THIS PROSPECTUS SUPPLEMENT AND THE PROSPECTUS</w:t>
      </w:r>
    </w:p>
    <w:p>
      <w:pPr>
        <w:spacing w:after="0" w:line="172" w:lineRule="exact"/>
        <w:rPr>
          <w:sz w:val="20"/>
          <w:szCs w:val="20"/>
          <w:color w:val="auto"/>
        </w:rPr>
      </w:pPr>
    </w:p>
    <w:p>
      <w:pPr>
        <w:ind w:left="1460" w:right="519" w:firstLine="335"/>
        <w:spacing w:after="0" w:line="256" w:lineRule="auto"/>
        <w:rPr>
          <w:sz w:val="20"/>
          <w:szCs w:val="20"/>
          <w:color w:val="auto"/>
        </w:rPr>
      </w:pPr>
      <w:r>
        <w:rPr>
          <w:rFonts w:ascii="Times New Roman" w:cs="Times New Roman" w:eastAsia="Times New Roman" w:hAnsi="Times New Roman"/>
          <w:sz w:val="14"/>
          <w:szCs w:val="14"/>
          <w:color w:val="auto"/>
        </w:rPr>
        <w:t>This prospectus supplement is part of an automatic shelf registration statement on Form S-3 (File No. 333-275774) that we filed with the Securities and Exchange Commission (the “SEC”) on November 28, 2023 as a “well-known seasoned issuer” as defined in Rule 405 of the Securities Act of 1933, as amended (the “Securities Act”).</w:t>
      </w:r>
    </w:p>
    <w:p>
      <w:pPr>
        <w:spacing w:after="0" w:line="143" w:lineRule="exact"/>
        <w:rPr>
          <w:sz w:val="20"/>
          <w:szCs w:val="20"/>
          <w:color w:val="auto"/>
        </w:rPr>
      </w:pPr>
    </w:p>
    <w:p>
      <w:pPr>
        <w:ind w:left="1460" w:right="379" w:firstLine="335"/>
        <w:spacing w:after="0" w:line="247" w:lineRule="auto"/>
        <w:rPr>
          <w:sz w:val="20"/>
          <w:szCs w:val="20"/>
          <w:color w:val="auto"/>
        </w:rPr>
      </w:pPr>
      <w:r>
        <w:rPr>
          <w:rFonts w:ascii="Times New Roman" w:cs="Times New Roman" w:eastAsia="Times New Roman" w:hAnsi="Times New Roman"/>
          <w:sz w:val="14"/>
          <w:szCs w:val="14"/>
          <w:color w:val="auto"/>
        </w:rPr>
        <w:t>This document is in two parts. The first part is this prospectus supplement, which describes the specific terms of this offering of Common Stock. The second part is the accompanying prospectus, which provides more general information, some of which may not apply to this offering. The information included or incorporated by reference in this prospectus supplement also adds to, updates and changes information contained or incorporated by reference in the accompanying prospectus. If information included or incorporated by reference in this prospectus supplement is inconsistent with the accompanying prospectus or the information incorporated by reference therein, then this prospectus supplement or the information incorporated by reference in this prospectus supplement will apply and will supersede the information in the accompanying prospectus and the documents incorporated by reference therein. However, if any statement in one of these documents is inconsistent with a statement in another document with a later date that is incorporated by reference herein, the statement in the document having the later date modifies and supersedes the earlier statement.</w:t>
      </w:r>
    </w:p>
    <w:p>
      <w:pPr>
        <w:spacing w:after="0" w:line="153" w:lineRule="exact"/>
        <w:rPr>
          <w:sz w:val="20"/>
          <w:szCs w:val="20"/>
          <w:color w:val="auto"/>
        </w:rPr>
      </w:pPr>
    </w:p>
    <w:p>
      <w:pPr>
        <w:ind w:left="1460" w:right="399" w:firstLine="335"/>
        <w:spacing w:after="0" w:line="278" w:lineRule="auto"/>
        <w:rPr>
          <w:sz w:val="20"/>
          <w:szCs w:val="20"/>
          <w:color w:val="auto"/>
        </w:rPr>
      </w:pPr>
      <w:r>
        <w:rPr>
          <w:rFonts w:ascii="Times New Roman" w:cs="Times New Roman" w:eastAsia="Times New Roman" w:hAnsi="Times New Roman"/>
          <w:sz w:val="13"/>
          <w:szCs w:val="13"/>
          <w:color w:val="auto"/>
        </w:rPr>
        <w:t>Before investing in our Common Stock, please read and consider all information contained in this prospectus supplement, the accompanying prospectus and the documents incorporated by reference herein and therein together with the additional information described under the section entitled “</w:t>
      </w:r>
      <w:r>
        <w:rPr>
          <w:rFonts w:ascii="Times New Roman" w:cs="Times New Roman" w:eastAsia="Times New Roman" w:hAnsi="Times New Roman"/>
          <w:sz w:val="13"/>
          <w:szCs w:val="13"/>
          <w:i w:val="1"/>
          <w:iCs w:val="1"/>
          <w:color w:val="auto"/>
        </w:rPr>
        <w:t>Available Information</w:t>
      </w:r>
      <w:r>
        <w:rPr>
          <w:rFonts w:ascii="Times New Roman" w:cs="Times New Roman" w:eastAsia="Times New Roman" w:hAnsi="Times New Roman"/>
          <w:sz w:val="13"/>
          <w:szCs w:val="13"/>
          <w:color w:val="auto"/>
        </w:rPr>
        <w:t>.” You should also read and consider the information set forth in the section entitled “</w:t>
      </w:r>
      <w:r>
        <w:rPr>
          <w:rFonts w:ascii="Times New Roman" w:cs="Times New Roman" w:eastAsia="Times New Roman" w:hAnsi="Times New Roman"/>
          <w:sz w:val="13"/>
          <w:szCs w:val="13"/>
          <w:i w:val="1"/>
          <w:iCs w:val="1"/>
          <w:color w:val="auto"/>
        </w:rPr>
        <w:t>Risk Factors</w:t>
      </w:r>
      <w:r>
        <w:rPr>
          <w:rFonts w:ascii="Times New Roman" w:cs="Times New Roman" w:eastAsia="Times New Roman" w:hAnsi="Times New Roman"/>
          <w:sz w:val="13"/>
          <w:szCs w:val="13"/>
          <w:color w:val="auto"/>
        </w:rPr>
        <w:t>” in each of this prospectus supplement, the accompanying prospectus and the documents incorporated by reference herein and therein before you make an investment decision.</w:t>
      </w:r>
    </w:p>
    <w:p>
      <w:pPr>
        <w:spacing w:after="0" w:line="129" w:lineRule="exact"/>
        <w:rPr>
          <w:sz w:val="20"/>
          <w:szCs w:val="20"/>
          <w:color w:val="auto"/>
        </w:rPr>
      </w:pPr>
    </w:p>
    <w:p>
      <w:pPr>
        <w:ind w:left="1460" w:right="519" w:firstLine="335"/>
        <w:spacing w:after="0" w:line="256" w:lineRule="auto"/>
        <w:rPr>
          <w:sz w:val="20"/>
          <w:szCs w:val="20"/>
          <w:color w:val="auto"/>
        </w:rPr>
      </w:pPr>
      <w:r>
        <w:rPr>
          <w:rFonts w:ascii="Times New Roman" w:cs="Times New Roman" w:eastAsia="Times New Roman" w:hAnsi="Times New Roman"/>
          <w:sz w:val="14"/>
          <w:szCs w:val="14"/>
          <w:color w:val="auto"/>
        </w:rPr>
        <w:t>The selling stockholders may from time to time offer and sell, transfer or otherwise dispose of any or all of their shares of our Common Stock through one or more underwriters, dealers and agents or directly to purchasers or through a combination of these methods. See “</w:t>
      </w:r>
      <w:r>
        <w:rPr>
          <w:rFonts w:ascii="Times New Roman" w:cs="Times New Roman" w:eastAsia="Times New Roman" w:hAnsi="Times New Roman"/>
          <w:sz w:val="14"/>
          <w:szCs w:val="14"/>
          <w:i w:val="1"/>
          <w:iCs w:val="1"/>
          <w:color w:val="auto"/>
        </w:rPr>
        <w:t>Plan of Distribution</w:t>
      </w:r>
      <w:r>
        <w:rPr>
          <w:rFonts w:ascii="Times New Roman" w:cs="Times New Roman" w:eastAsia="Times New Roman" w:hAnsi="Times New Roman"/>
          <w:sz w:val="14"/>
          <w:szCs w:val="14"/>
          <w:color w:val="auto"/>
        </w:rPr>
        <w:t>” for additional information.</w:t>
      </w:r>
    </w:p>
    <w:p>
      <w:pPr>
        <w:spacing w:after="0" w:line="143" w:lineRule="exact"/>
        <w:rPr>
          <w:sz w:val="20"/>
          <w:szCs w:val="20"/>
          <w:color w:val="auto"/>
        </w:rPr>
      </w:pPr>
    </w:p>
    <w:p>
      <w:pPr>
        <w:ind w:left="1460" w:right="399" w:firstLine="335"/>
        <w:spacing w:after="0" w:line="252" w:lineRule="auto"/>
        <w:rPr>
          <w:sz w:val="20"/>
          <w:szCs w:val="20"/>
          <w:color w:val="auto"/>
        </w:rPr>
      </w:pPr>
      <w:r>
        <w:rPr>
          <w:rFonts w:ascii="Times New Roman" w:cs="Times New Roman" w:eastAsia="Times New Roman" w:hAnsi="Times New Roman"/>
          <w:sz w:val="14"/>
          <w:szCs w:val="14"/>
          <w:color w:val="auto"/>
        </w:rPr>
        <w:t>Neither we nor the selling stockholders are making any representation to any purchaser of our Common Stock regarding the legality of an investment in our Common Stock by such purchaser. You should not consider any information in this prospectus supplement or the accompanying prospectus to be legal, business or tax advice. You should consult your own attorney, business advisor and tax advisor for legal, business and tax advice regarding an investment in our Common Stock.</w:t>
      </w:r>
    </w:p>
    <w:p>
      <w:pPr>
        <w:spacing w:after="0" w:line="146" w:lineRule="exact"/>
        <w:rPr>
          <w:sz w:val="20"/>
          <w:szCs w:val="20"/>
          <w:color w:val="auto"/>
        </w:rPr>
      </w:pPr>
    </w:p>
    <w:p>
      <w:pPr>
        <w:ind w:left="1460" w:right="459" w:firstLine="335"/>
        <w:spacing w:after="0" w:line="256" w:lineRule="auto"/>
        <w:rPr>
          <w:sz w:val="20"/>
          <w:szCs w:val="20"/>
          <w:color w:val="auto"/>
        </w:rPr>
      </w:pPr>
      <w:r>
        <w:rPr>
          <w:rFonts w:ascii="Times New Roman" w:cs="Times New Roman" w:eastAsia="Times New Roman" w:hAnsi="Times New Roman"/>
          <w:sz w:val="14"/>
          <w:szCs w:val="14"/>
          <w:color w:val="auto"/>
        </w:rPr>
        <w:t>When we use the terms the “Company,” “we,” “our,” or “us,” we are referring to Southwest Gas Holdings, Inc., together with our subsidiaries, except where the context otherwise requires or where otherwise indicated. The term “Southwest Gas Holdings” refers to Southwest Gas Holdings, Inc. without its consolidated subsidiaries. The term “Southwest” refers to our subsidiary, Southwest Gas Corporation.</w:t>
      </w:r>
    </w:p>
    <w:p>
      <w:pPr>
        <w:spacing w:after="0" w:line="143" w:lineRule="exact"/>
        <w:rPr>
          <w:sz w:val="20"/>
          <w:szCs w:val="20"/>
          <w:color w:val="auto"/>
        </w:rPr>
      </w:pPr>
    </w:p>
    <w:p>
      <w:pPr>
        <w:ind w:left="1460" w:right="399" w:firstLine="335"/>
        <w:spacing w:after="0" w:line="249" w:lineRule="auto"/>
        <w:rPr>
          <w:sz w:val="20"/>
          <w:szCs w:val="20"/>
          <w:color w:val="auto"/>
        </w:rPr>
      </w:pPr>
      <w:r>
        <w:rPr>
          <w:rFonts w:ascii="Times New Roman" w:cs="Times New Roman" w:eastAsia="Times New Roman" w:hAnsi="Times New Roman"/>
          <w:sz w:val="14"/>
          <w:szCs w:val="14"/>
          <w:color w:val="auto"/>
        </w:rPr>
        <w:t>Our Common Stock is being offered by the selling stockholders only for sale in jurisdictions where it is lawful to make such offers. The distribution of this prospectus supplement and the accompanying prospectus and the offering of shares of our Common Stock in other jurisdictions also may be restricted by law. Persons who receive this prospectus supplement and the accompanying prospectus should inform themselves about and observe any such restrictions. This prospectus supplement and the accompanying prospectus do not constitute, and may not be used in connection with, an offer or solicitation by anyone in any jurisdiction in which such offer or solicitation is not authorized or in which the person making such offer or solicitation is not authorized or qualified to do so or to any person to whom it is unlawful to make such offer or solicitation.</w:t>
      </w:r>
    </w:p>
    <w:p>
      <w:pPr>
        <w:spacing w:after="0" w:line="9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S-1</w:t>
      </w:r>
    </w:p>
    <w:p>
      <w:pPr>
        <w:sectPr>
          <w:pgSz w:w="11900" w:h="16838" w:orient="portrait"/>
          <w:cols w:equalWidth="0" w:num="1">
            <w:col w:w="10159"/>
          </w:cols>
          <w:pgMar w:left="300" w:top="380" w:right="1440"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4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CAUTIONARY STATEMENT REGARDING FORWARD-LOOKING INFORMATION</w:t>
      </w:r>
    </w:p>
    <w:p>
      <w:pPr>
        <w:spacing w:after="0" w:line="172" w:lineRule="exact"/>
        <w:rPr>
          <w:sz w:val="20"/>
          <w:szCs w:val="20"/>
          <w:color w:val="auto"/>
        </w:rPr>
      </w:pPr>
    </w:p>
    <w:p>
      <w:pPr>
        <w:ind w:left="1460" w:right="379" w:firstLine="335"/>
        <w:spacing w:after="0" w:line="265" w:lineRule="auto"/>
        <w:rPr>
          <w:sz w:val="20"/>
          <w:szCs w:val="20"/>
          <w:color w:val="auto"/>
        </w:rPr>
      </w:pPr>
      <w:r>
        <w:rPr>
          <w:rFonts w:ascii="Times New Roman" w:cs="Times New Roman" w:eastAsia="Times New Roman" w:hAnsi="Times New Roman"/>
          <w:sz w:val="13"/>
          <w:szCs w:val="13"/>
          <w:color w:val="auto"/>
        </w:rPr>
        <w:t>This prospectus supplement, the accompanying prospectus and the documents we incorporate by reference herein and therein contain forward-looking statements within the meaning of the Private Securities Litigation Reform Act of 1995 (the “Reform Act”). All statements other than statements of historical fact included or incorporated by reference in this prospectus supplement and the accompanying prospectus are forward-looking statements, including, without limitation, statements regarding the Company’s plans, objectives, goals, intentions, projections, strategies, future events or performance, negotiations, and underlying assumptions. The words “may,” “if,” “will,” “should,” “could,” “expect,” “plan,” “anticipate,” “believe,” “estimate,” “predict,” “project,” “potential,” “continue,” “forecast,” “intend,” “endeavor,” “promote,” “seek,” pursue,” and similar words and expressions are generally used and intended to identify forward-looking statements. For example, statements regarding operating margin patterns, customer growth, the composition of our customer base, price volatility, utility optimization initiatives, the level of expense or cost containment, seasonal patterns, the ability to pay debt, the Company’s Company-owned life insurance strategy, the magnitude of future acquisition or divestiture impacts related thereto, the impacts of U.S. tax reform including the One Big Beautiful Bill Act and disposition in any regulatory proceeding and bonus depreciation tax deductions, tariffs, the impact of any Pipeline and Hazardous Materials Safety Administration rulemaking or proposed rulemaking, the amounts and timing for completion of estimated future capital expenditures, forecasted operating cash flows and results of operations, net earnings impacts or recovery of costs from gas infrastructure replacements, programs and mechanisms, or other mechanisms, funding sources of cash requirements, amounts generally expected to be reflected in future period revenues from regulatory rate proceedings including amounts requested or settled from recent and ongoing general rate cases or other regulatory proceedings, rates and surcharges, purchased gas adjustment (“PGA”) administration, recovery and timing, and other rate adjustments, sufficiency of working capital and current credit facilities or the ability to cure negative working capital balances, bank lending practices, the Company’s views regarding its liquidity position, ability to raise funds and receive external financing capacity and the intent and ability to issue various financing instruments and stock under our at-the-market equity offering program or otherwise, expectations with respect to the use of net proceeds from the Centuri separation transactions, future dividends and the Board’s current payout strategy, pension and postretirement benefits, assumptions used and the expectations regarding the treasury futures overlay, the effect of any other rate changes or regulatory proceedings, impacts of Accounting Standards Updates, statements regarding future gas prices, gas purchase contracts and pipeline imbalance charges or claims related thereto, recoverability of regulatory assets, the impact of certain legal proceedings or claims, statements related to the Great Basin Gas Transmission Company (“Great Basin”) 2028 expansion project, and the timing and results of future rate hearings, including any ongoing or future general rate cases and other proceedings, and statements regarding pending approvals, including proposed regulatory mechanisms and the approval of the application for the triennial resource plan, or references to impacts believed to be timing-related, are forward-looking statements. All forward-looking statements are intended to be subject to the safe harbor protection provided by the Reform Act.</w:t>
      </w:r>
    </w:p>
    <w:p>
      <w:pPr>
        <w:spacing w:after="0" w:line="313" w:lineRule="exact"/>
        <w:rPr>
          <w:sz w:val="20"/>
          <w:szCs w:val="20"/>
          <w:color w:val="auto"/>
        </w:rPr>
      </w:pPr>
    </w:p>
    <w:p>
      <w:pPr>
        <w:ind w:left="1460" w:right="319" w:firstLine="335"/>
        <w:spacing w:after="0" w:line="247" w:lineRule="auto"/>
        <w:rPr>
          <w:sz w:val="20"/>
          <w:szCs w:val="20"/>
          <w:color w:val="auto"/>
        </w:rPr>
      </w:pPr>
      <w:r>
        <w:rPr>
          <w:rFonts w:ascii="Times New Roman" w:cs="Times New Roman" w:eastAsia="Times New Roman" w:hAnsi="Times New Roman"/>
          <w:sz w:val="14"/>
          <w:szCs w:val="14"/>
          <w:color w:val="auto"/>
        </w:rPr>
        <w:t>A number of important factors affecting the business and financial results of the Company could cause actual results to differ materially from those stated in the forward-looking statements. These factors include, but are not limited to, customer growth rates, conditions in the housing market, inflation, interest rates and related government actions, including the impact of tariffs, the impact of the federal U.S. government shutdown on economic conditions, sufficiency of labor markets and ability to timely hire qualified employees or similar resources, acquisition and divestiture decisions including prices paid or received, adjustments, indemnifications, or commitments related thereto, and their impacts to impairments, write-downs, or losses or expenses generally, the ability to collect on outstanding customer accounts receivable in any or all jurisdictions, the ability to obtain regulatory recovery of related costs, the ability to recover or requirement to return, as applicable, and timing thereof related to costs associated with the PGA mechanisms or other regulatory assets or programs, potential disallowances by the Arizona Corporation Commission, the Public Utilities Commission of Nevada, the California Public Utilities Commission, and/or the Federal Energy Regulatory Commission, the effects of regulation/deregulation, governmental or regulatory policy regarding pipeline safety, greenhouse gas emissions,</w:t>
      </w:r>
    </w:p>
    <w:p>
      <w:pPr>
        <w:spacing w:after="0" w:line="10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S-2</w:t>
      </w:r>
    </w:p>
    <w:p>
      <w:pPr>
        <w:sectPr>
          <w:pgSz w:w="11900" w:h="16838" w:orient="portrait"/>
          <w:cols w:equalWidth="0" w:num="1">
            <w:col w:w="10159"/>
          </w:cols>
          <w:pgMar w:left="300" w:top="380" w:right="1440"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44" w:lineRule="exact"/>
        <w:rPr>
          <w:sz w:val="20"/>
          <w:szCs w:val="20"/>
          <w:color w:val="auto"/>
        </w:rPr>
      </w:pPr>
    </w:p>
    <w:p>
      <w:pPr>
        <w:ind w:left="1460" w:right="339"/>
        <w:spacing w:after="0" w:line="266" w:lineRule="auto"/>
        <w:rPr>
          <w:sz w:val="20"/>
          <w:szCs w:val="20"/>
          <w:color w:val="auto"/>
        </w:rPr>
      </w:pPr>
      <w:r>
        <w:rPr>
          <w:rFonts w:ascii="Times New Roman" w:cs="Times New Roman" w:eastAsia="Times New Roman" w:hAnsi="Times New Roman"/>
          <w:sz w:val="13"/>
          <w:szCs w:val="13"/>
          <w:color w:val="auto"/>
        </w:rPr>
        <w:t>natural gas, potential prohibitions on the use of natural gas by customers or potential customers, including related to electric generation or natural gas appliances, or regarding alternative energy, the regulatory support for ongoing infrastructure programs or expansions, the timing and amount of rate relief, the impact of other regulatory proceedings, the timing and methods determined by regulators to refund amounts to customers resulting from U.S. tax reform, changes in rate design, impacts of other tax regulations, impacts to rate base or otherwise from deferred tax balances, including from Internal Revenue Service (“IRS”) gas industry guidelines and the safe harbor method related to tax repairs or otherwise, variability in volume of gas or transportation service sold to customers, changes in gas procurement practices, changes in capital requirements and funding, the impact of credit rating actions and conditions in the capital markets on financing costs, changes in federal policies that affect U.S. relations with other countries, including with respect to taxes, trade policies, and tariffs, changes in capital expenditures and financing, resources/efforts dedicated to construction activities and all other business activities, levels of or changes in operations and maintenance expenses, or other costs, including fuel costs and other costs impacted by inflation, including from tariffs or otherwise, benefit plan costs and actuarial estimates, other estimates, and changes thereto, the results of any cost containment efforts, geopolitical influences on the business or its costs, effects of pension or other postretirement benefit expense forecasts or plan modifications, accounting changes and regulatory treatment related thereto, currently unresolved and future liability claims and disputes, changes in pipeline capacity for the transportation of gas and related costs, projections about acquired businesses’ earnings, or those that may be planned, future acquisition-related costs, differences between the actual experience and projections in costs to integrate or stand-up portions of newly acquired business operations, acquisitions and management’s plans related thereto, the ability of management to successfully finance, close, and assimilate any acquired businesses, the impact on our stock price or our credit ratings due to undertaking or failing to undertake acquisition or divestiture activities or other strategic endeavors, the impact on our stock price, costs, actions or disruptions or continuation thereof related to significant stockholders and their activism, our ability to raise capital in external financings, our ability to continue to remain within the ratios and other limits subject to our debt covenants, and ongoing evaluations in regard to goodwill, other intangible assets, regulatory approvals for the Great Basin 2028 expansion project along with negotiation and execution of binding transportation agreements and capital construction costs, and utility optimization initiatives. In addition, the Company can provide no assurance that its discussions regarding certain trends or plans relating to its financing and operating expenses will continue, proceed as planned, cease to continue, or fail to be alleviated, in future periods.</w:t>
      </w:r>
    </w:p>
    <w:p>
      <w:pPr>
        <w:spacing w:after="0" w:line="302" w:lineRule="exact"/>
        <w:rPr>
          <w:sz w:val="20"/>
          <w:szCs w:val="20"/>
          <w:color w:val="auto"/>
        </w:rPr>
      </w:pPr>
    </w:p>
    <w:p>
      <w:pPr>
        <w:ind w:left="1460" w:right="399" w:firstLine="335"/>
        <w:spacing w:after="0" w:line="270" w:lineRule="auto"/>
        <w:rPr>
          <w:sz w:val="20"/>
          <w:szCs w:val="20"/>
          <w:color w:val="auto"/>
        </w:rPr>
      </w:pPr>
      <w:r>
        <w:rPr>
          <w:rFonts w:ascii="Times New Roman" w:cs="Times New Roman" w:eastAsia="Times New Roman" w:hAnsi="Times New Roman"/>
          <w:sz w:val="13"/>
          <w:szCs w:val="13"/>
          <w:color w:val="auto"/>
        </w:rPr>
        <w:t>Additional factors that could cause actual results to differ and that you should consider prior to investing in our securities are discussed under the heading “</w:t>
      </w:r>
      <w:r>
        <w:rPr>
          <w:rFonts w:ascii="Times New Roman" w:cs="Times New Roman" w:eastAsia="Times New Roman" w:hAnsi="Times New Roman"/>
          <w:sz w:val="13"/>
          <w:szCs w:val="13"/>
          <w:i w:val="1"/>
          <w:iCs w:val="1"/>
          <w:color w:val="auto"/>
        </w:rPr>
        <w:t>Risk Factors</w:t>
      </w:r>
      <w:r>
        <w:rPr>
          <w:rFonts w:ascii="Times New Roman" w:cs="Times New Roman" w:eastAsia="Times New Roman" w:hAnsi="Times New Roman"/>
          <w:sz w:val="13"/>
          <w:szCs w:val="13"/>
          <w:color w:val="auto"/>
        </w:rPr>
        <w:t>” and in other sections of this prospectus supplement, the accompanying prospectus and our current and periodic reports, and other filings, filed from time to time with the SEC that are incorporated by reference into this prospectus supplement and the accompanying prospectus. See “</w:t>
      </w:r>
      <w:r>
        <w:rPr>
          <w:rFonts w:ascii="Times New Roman" w:cs="Times New Roman" w:eastAsia="Times New Roman" w:hAnsi="Times New Roman"/>
          <w:sz w:val="13"/>
          <w:szCs w:val="13"/>
          <w:i w:val="1"/>
          <w:iCs w:val="1"/>
          <w:color w:val="auto"/>
        </w:rPr>
        <w:t>Incorporation by Reference</w:t>
      </w:r>
      <w:r>
        <w:rPr>
          <w:rFonts w:ascii="Times New Roman" w:cs="Times New Roman" w:eastAsia="Times New Roman" w:hAnsi="Times New Roman"/>
          <w:sz w:val="13"/>
          <w:szCs w:val="13"/>
          <w:color w:val="auto"/>
        </w:rPr>
        <w:t>” and “</w:t>
      </w:r>
      <w:r>
        <w:rPr>
          <w:rFonts w:ascii="Times New Roman" w:cs="Times New Roman" w:eastAsia="Times New Roman" w:hAnsi="Times New Roman"/>
          <w:sz w:val="13"/>
          <w:szCs w:val="13"/>
          <w:i w:val="1"/>
          <w:iCs w:val="1"/>
          <w:color w:val="auto"/>
        </w:rPr>
        <w:t>Available Information</w:t>
      </w:r>
      <w:r>
        <w:rPr>
          <w:rFonts w:ascii="Times New Roman" w:cs="Times New Roman" w:eastAsia="Times New Roman" w:hAnsi="Times New Roman"/>
          <w:sz w:val="13"/>
          <w:szCs w:val="13"/>
          <w:color w:val="auto"/>
        </w:rPr>
        <w:t>” below and for information about how to obtain copies of those documents. All forward-looking statements in this prospectus supplement, the accompanying prospectus and the documents incorporated by reference herein and therein are made only as of the date of the document in which they are contained, based on information available to us as of the date of that document, and we caution you not to place undue reliance on forward-looking statements in light of the risks and uncertainties associated with them. We assume no obligation to update any forward-looking statements, whether as a result of new information, future events or otherwise.</w:t>
      </w:r>
    </w:p>
    <w:p>
      <w:pPr>
        <w:spacing w:after="0" w:line="8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S-3</w:t>
      </w:r>
    </w:p>
    <w:p>
      <w:pPr>
        <w:sectPr>
          <w:pgSz w:w="11900" w:h="16838" w:orient="portrait"/>
          <w:cols w:equalWidth="0" w:num="1">
            <w:col w:w="10159"/>
          </w:cols>
          <w:pgMar w:left="300" w:top="380" w:right="1440"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4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WHERE YOU CAN FIND MORE INFORMATION</w:t>
      </w:r>
    </w:p>
    <w:p>
      <w:pPr>
        <w:spacing w:after="0" w:line="172" w:lineRule="exact"/>
        <w:rPr>
          <w:sz w:val="20"/>
          <w:szCs w:val="20"/>
          <w:color w:val="auto"/>
        </w:rPr>
      </w:pPr>
    </w:p>
    <w:p>
      <w:pPr>
        <w:ind w:left="1460" w:right="619" w:firstLine="335"/>
        <w:spacing w:after="0" w:line="267" w:lineRule="auto"/>
        <w:rPr>
          <w:sz w:val="20"/>
          <w:szCs w:val="20"/>
          <w:color w:val="auto"/>
        </w:rPr>
      </w:pPr>
      <w:r>
        <w:rPr>
          <w:rFonts w:ascii="Times New Roman" w:cs="Times New Roman" w:eastAsia="Times New Roman" w:hAnsi="Times New Roman"/>
          <w:sz w:val="14"/>
          <w:szCs w:val="14"/>
          <w:color w:val="auto"/>
        </w:rPr>
        <w:t>We are required to file annual, quarterly and current reports and other information with the SEC. Our filings with the SEC are available to the public through the SEC’s internet site at http://www.sec.gov.</w:t>
      </w:r>
    </w:p>
    <w:p>
      <w:pPr>
        <w:spacing w:after="0" w:line="135" w:lineRule="exact"/>
        <w:rPr>
          <w:sz w:val="20"/>
          <w:szCs w:val="20"/>
          <w:color w:val="auto"/>
        </w:rPr>
      </w:pPr>
    </w:p>
    <w:p>
      <w:pPr>
        <w:ind w:left="1460" w:right="339" w:firstLine="335"/>
        <w:spacing w:after="0" w:line="249" w:lineRule="auto"/>
        <w:rPr>
          <w:sz w:val="20"/>
          <w:szCs w:val="20"/>
          <w:color w:val="auto"/>
        </w:rPr>
      </w:pPr>
      <w:r>
        <w:rPr>
          <w:rFonts w:ascii="Times New Roman" w:cs="Times New Roman" w:eastAsia="Times New Roman" w:hAnsi="Times New Roman"/>
          <w:sz w:val="14"/>
          <w:szCs w:val="14"/>
          <w:color w:val="auto"/>
        </w:rPr>
        <w:t>Southwest Gas Holdings and Southwest have jointly filed with the SEC an automatic shelf registration statement on Form S-3 relating to the securities covered by this prospectus supplement and the accompanying prospectus. This prospectus supplement and the accompanying prospectus are a part of the registration statement and do not contain all the information in the registration statement. Whenever a reference is made in this prospectus supplement or the accompanying prospectus to a contract or other document of the Company, the reference is only a summary and you should refer to the exhibits that are a part of the registration statement for a copy of the contract or other document. You may review a copy of the registration statement through the SEC’s internet site.</w:t>
      </w:r>
    </w:p>
    <w:p>
      <w:pPr>
        <w:spacing w:after="0" w:line="30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INCORPORATION BY REFERENCE</w:t>
      </w:r>
    </w:p>
    <w:p>
      <w:pPr>
        <w:spacing w:after="0" w:line="172" w:lineRule="exact"/>
        <w:rPr>
          <w:sz w:val="20"/>
          <w:szCs w:val="20"/>
          <w:color w:val="auto"/>
        </w:rPr>
      </w:pPr>
    </w:p>
    <w:p>
      <w:pPr>
        <w:ind w:left="1460" w:right="519" w:firstLine="335"/>
        <w:spacing w:after="0" w:line="256" w:lineRule="auto"/>
        <w:rPr>
          <w:sz w:val="20"/>
          <w:szCs w:val="20"/>
          <w:color w:val="auto"/>
        </w:rPr>
      </w:pPr>
      <w:r>
        <w:rPr>
          <w:rFonts w:ascii="Times New Roman" w:cs="Times New Roman" w:eastAsia="Times New Roman" w:hAnsi="Times New Roman"/>
          <w:sz w:val="14"/>
          <w:szCs w:val="14"/>
          <w:color w:val="auto"/>
        </w:rPr>
        <w:t>The SEC allows us to “incorporate by reference” into this prospectus supplement the information in other documents that we file with it, which means that we can disclose important information to you by referring you to those documents. The information that we incorporate by reference is considered to be a part of this prospectus supplement.</w:t>
      </w:r>
    </w:p>
    <w:p>
      <w:pPr>
        <w:spacing w:after="0" w:line="143" w:lineRule="exact"/>
        <w:rPr>
          <w:sz w:val="20"/>
          <w:szCs w:val="20"/>
          <w:color w:val="auto"/>
        </w:rPr>
      </w:pPr>
    </w:p>
    <w:p>
      <w:pPr>
        <w:ind w:left="1460" w:right="439" w:firstLine="335"/>
        <w:spacing w:after="0" w:line="248" w:lineRule="auto"/>
        <w:rPr>
          <w:sz w:val="20"/>
          <w:szCs w:val="20"/>
          <w:color w:val="auto"/>
        </w:rPr>
      </w:pPr>
      <w:r>
        <w:rPr>
          <w:rFonts w:ascii="Times New Roman" w:cs="Times New Roman" w:eastAsia="Times New Roman" w:hAnsi="Times New Roman"/>
          <w:sz w:val="14"/>
          <w:szCs w:val="14"/>
          <w:color w:val="auto"/>
        </w:rPr>
        <w:t>Any reports that we file with the SEC on or after the date of this prospectus supplement and before the date that the offering of shares of our Common Stock is terminated will automatically update and, where applicable, supersede any information contained in this prospectus supplement or incorporated by reference into this prospectus supplement. This means that you must look at all of the SEC filings that we incorporate by reference to determine if any of the statements in this prospectus supplement or in any documents previously incorporated by reference into this prospectus supplement have been modified or superseded. We specifically incorporate by reference into this prospectus supplement the following documents filed with the SEC (other than, in each case, documents or information deemed furnished and not filed in accordance with SEC rules, including pursuant to Item 2.02 or Item 7.01 of Form 8-K, and no such information shall be deemed specifically incorporated by reference hereby):</w:t>
      </w:r>
    </w:p>
    <w:p>
      <w:pPr>
        <w:spacing w:after="0" w:line="79" w:lineRule="exact"/>
        <w:rPr>
          <w:sz w:val="20"/>
          <w:szCs w:val="20"/>
          <w:color w:val="auto"/>
        </w:rPr>
      </w:pPr>
    </w:p>
    <w:p>
      <w:pPr>
        <w:ind w:left="2200" w:hanging="338"/>
        <w:spacing w:after="0"/>
        <w:tabs>
          <w:tab w:leader="none" w:pos="22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Annual Report on </w:t>
      </w:r>
      <w:hyperlink r:id="rId16">
        <w:r>
          <w:rPr>
            <w:rFonts w:ascii="Times New Roman" w:cs="Times New Roman" w:eastAsia="Times New Roman" w:hAnsi="Times New Roman"/>
            <w:sz w:val="14"/>
            <w:szCs w:val="14"/>
            <w:u w:val="single" w:color="auto"/>
            <w:color w:val="0000EE"/>
          </w:rPr>
          <w:t>Form 10-K</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for the year ended December 31, 2024 filed with the SEC on February 26, 2025;</w:t>
      </w:r>
    </w:p>
    <w:p>
      <w:pPr>
        <w:spacing w:after="0" w:line="95" w:lineRule="exact"/>
        <w:rPr>
          <w:rFonts w:ascii="Times New Roman" w:cs="Times New Roman" w:eastAsia="Times New Roman" w:hAnsi="Times New Roman"/>
          <w:sz w:val="14"/>
          <w:szCs w:val="14"/>
          <w:color w:val="auto"/>
        </w:rPr>
      </w:pPr>
    </w:p>
    <w:p>
      <w:pPr>
        <w:ind w:left="2200" w:right="339" w:hanging="338"/>
        <w:spacing w:after="0" w:line="267" w:lineRule="auto"/>
        <w:tabs>
          <w:tab w:leader="none" w:pos="2200" w:val="left"/>
        </w:tabs>
        <w:numPr>
          <w:ilvl w:val="0"/>
          <w:numId w:val="1"/>
        </w:numPr>
        <w:rPr>
          <w:rFonts w:ascii="Times New Roman" w:cs="Times New Roman" w:eastAsia="Times New Roman" w:hAnsi="Times New Roman"/>
          <w:sz w:val="14"/>
          <w:szCs w:val="14"/>
          <w:color w:val="0000EE"/>
        </w:rPr>
      </w:pPr>
      <w:r>
        <w:rPr>
          <w:rFonts w:ascii="Times New Roman" w:cs="Times New Roman" w:eastAsia="Times New Roman" w:hAnsi="Times New Roman"/>
          <w:sz w:val="14"/>
          <w:szCs w:val="14"/>
          <w:color w:val="auto"/>
        </w:rPr>
        <w:t xml:space="preserve">Quarterly Reports on Form 10-Q for the three months ended March 31, 2025, June 30, 2025 and September 30, 2025 filed with the SEC on </w:t>
      </w:r>
      <w:hyperlink r:id="rId17">
        <w:r>
          <w:rPr>
            <w:rFonts w:ascii="Times New Roman" w:cs="Times New Roman" w:eastAsia="Times New Roman" w:hAnsi="Times New Roman"/>
            <w:sz w:val="14"/>
            <w:szCs w:val="14"/>
            <w:u w:val="single" w:color="auto"/>
            <w:color w:val="0000EE"/>
          </w:rPr>
          <w:t>May 12, 2025</w:t>
        </w:r>
      </w:hyperlink>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w:t>
      </w:r>
      <w:hyperlink r:id="rId18">
        <w:r>
          <w:rPr>
            <w:rFonts w:ascii="Times New Roman" w:cs="Times New Roman" w:eastAsia="Times New Roman" w:hAnsi="Times New Roman"/>
            <w:sz w:val="14"/>
            <w:szCs w:val="14"/>
            <w:u w:val="single" w:color="auto"/>
            <w:color w:val="0000EE"/>
          </w:rPr>
          <w:t xml:space="preserve">August 6, 2025 </w:t>
        </w:r>
      </w:hyperlink>
      <w:r>
        <w:rPr>
          <w:rFonts w:ascii="Times New Roman" w:cs="Times New Roman" w:eastAsia="Times New Roman" w:hAnsi="Times New Roman"/>
          <w:sz w:val="14"/>
          <w:szCs w:val="14"/>
          <w:color w:val="000000"/>
        </w:rPr>
        <w:t>and</w:t>
      </w:r>
      <w:r>
        <w:rPr>
          <w:rFonts w:ascii="Times New Roman" w:cs="Times New Roman" w:eastAsia="Times New Roman" w:hAnsi="Times New Roman"/>
          <w:sz w:val="14"/>
          <w:szCs w:val="14"/>
          <w:color w:val="0000EE"/>
        </w:rPr>
        <w:t xml:space="preserve"> </w:t>
      </w:r>
      <w:hyperlink r:id="rId19">
        <w:r>
          <w:rPr>
            <w:rFonts w:ascii="Times New Roman" w:cs="Times New Roman" w:eastAsia="Times New Roman" w:hAnsi="Times New Roman"/>
            <w:sz w:val="14"/>
            <w:szCs w:val="14"/>
            <w:u w:val="single" w:color="auto"/>
            <w:color w:val="0000EE"/>
          </w:rPr>
          <w:t>November 5, 2025</w:t>
        </w:r>
      </w:hyperlink>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respectively;</w:t>
      </w:r>
    </w:p>
    <w:p>
      <w:pPr>
        <w:spacing w:after="0" w:line="63" w:lineRule="exact"/>
        <w:rPr>
          <w:rFonts w:ascii="Times New Roman" w:cs="Times New Roman" w:eastAsia="Times New Roman" w:hAnsi="Times New Roman"/>
          <w:sz w:val="14"/>
          <w:szCs w:val="14"/>
          <w:color w:val="0000EE"/>
        </w:rPr>
      </w:pPr>
    </w:p>
    <w:p>
      <w:pPr>
        <w:jc w:val="both"/>
        <w:ind w:left="2200" w:right="379" w:hanging="338"/>
        <w:spacing w:after="0" w:line="256" w:lineRule="auto"/>
        <w:tabs>
          <w:tab w:leader="none" w:pos="2200" w:val="left"/>
        </w:tabs>
        <w:numPr>
          <w:ilvl w:val="0"/>
          <w:numId w:val="1"/>
        </w:numPr>
        <w:rPr>
          <w:rFonts w:ascii="Times New Roman" w:cs="Times New Roman" w:eastAsia="Times New Roman" w:hAnsi="Times New Roman"/>
          <w:sz w:val="14"/>
          <w:szCs w:val="14"/>
          <w:color w:val="0000EE"/>
        </w:rPr>
      </w:pPr>
      <w:r>
        <w:rPr>
          <w:rFonts w:ascii="Times New Roman" w:cs="Times New Roman" w:eastAsia="Times New Roman" w:hAnsi="Times New Roman"/>
          <w:sz w:val="14"/>
          <w:szCs w:val="14"/>
          <w:color w:val="auto"/>
        </w:rPr>
        <w:t xml:space="preserve">Current Reports on Form 8-K and Form 8-K/A, as applicable, filed on </w:t>
      </w:r>
      <w:hyperlink r:id="rId20">
        <w:r>
          <w:rPr>
            <w:rFonts w:ascii="Times New Roman" w:cs="Times New Roman" w:eastAsia="Times New Roman" w:hAnsi="Times New Roman"/>
            <w:sz w:val="14"/>
            <w:szCs w:val="14"/>
            <w:u w:val="single" w:color="auto"/>
            <w:color w:val="0000EE"/>
          </w:rPr>
          <w:t>February 25, 2025</w:t>
        </w:r>
      </w:hyperlink>
      <w:r>
        <w:rPr>
          <w:rFonts w:ascii="Times New Roman" w:cs="Times New Roman" w:eastAsia="Times New Roman" w:hAnsi="Times New Roman"/>
          <w:sz w:val="14"/>
          <w:szCs w:val="14"/>
          <w:color w:val="auto"/>
        </w:rPr>
        <w:t xml:space="preserve">, </w:t>
      </w:r>
      <w:hyperlink r:id="rId21">
        <w:r>
          <w:rPr>
            <w:rFonts w:ascii="Times New Roman" w:cs="Times New Roman" w:eastAsia="Times New Roman" w:hAnsi="Times New Roman"/>
            <w:sz w:val="14"/>
            <w:szCs w:val="14"/>
            <w:u w:val="single" w:color="auto"/>
            <w:color w:val="0000EE"/>
          </w:rPr>
          <w:t>March 13, 2025</w:t>
        </w:r>
      </w:hyperlink>
      <w:r>
        <w:rPr>
          <w:rFonts w:ascii="Times New Roman" w:cs="Times New Roman" w:eastAsia="Times New Roman" w:hAnsi="Times New Roman"/>
          <w:sz w:val="14"/>
          <w:szCs w:val="14"/>
          <w:color w:val="auto"/>
        </w:rPr>
        <w:t xml:space="preserve">, </w:t>
      </w:r>
      <w:hyperlink r:id="rId22">
        <w:r>
          <w:rPr>
            <w:rFonts w:ascii="Times New Roman" w:cs="Times New Roman" w:eastAsia="Times New Roman" w:hAnsi="Times New Roman"/>
            <w:sz w:val="14"/>
            <w:szCs w:val="14"/>
            <w:u w:val="single" w:color="auto"/>
            <w:color w:val="0000EE"/>
          </w:rPr>
          <w:t>May 5, 2025</w:t>
        </w:r>
      </w:hyperlink>
      <w:r>
        <w:rPr>
          <w:rFonts w:ascii="Times New Roman" w:cs="Times New Roman" w:eastAsia="Times New Roman" w:hAnsi="Times New Roman"/>
          <w:sz w:val="14"/>
          <w:szCs w:val="14"/>
          <w:color w:val="auto"/>
        </w:rPr>
        <w:t xml:space="preserve">, </w:t>
      </w:r>
      <w:hyperlink r:id="rId23">
        <w:r>
          <w:rPr>
            <w:rFonts w:ascii="Times New Roman" w:cs="Times New Roman" w:eastAsia="Times New Roman" w:hAnsi="Times New Roman"/>
            <w:sz w:val="14"/>
            <w:szCs w:val="14"/>
            <w:u w:val="single" w:color="auto"/>
            <w:color w:val="0000EE"/>
          </w:rPr>
          <w:t>May 22, 2025</w:t>
        </w:r>
      </w:hyperlink>
      <w:r>
        <w:rPr>
          <w:rFonts w:ascii="Times New Roman" w:cs="Times New Roman" w:eastAsia="Times New Roman" w:hAnsi="Times New Roman"/>
          <w:sz w:val="14"/>
          <w:szCs w:val="14"/>
          <w:color w:val="auto"/>
        </w:rPr>
        <w:t xml:space="preserve">, </w:t>
      </w:r>
      <w:hyperlink r:id="rId24">
        <w:r>
          <w:rPr>
            <w:rFonts w:ascii="Times New Roman" w:cs="Times New Roman" w:eastAsia="Times New Roman" w:hAnsi="Times New Roman"/>
            <w:sz w:val="14"/>
            <w:szCs w:val="14"/>
            <w:u w:val="single" w:color="auto"/>
            <w:color w:val="0000EE"/>
          </w:rPr>
          <w:t>June 3, 2025</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u w:val="single" w:color="auto"/>
            <w:color w:val="0000EE"/>
          </w:rPr>
          <w:t>June 18, 2025</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u w:val="single" w:color="auto"/>
            <w:color w:val="0000EE"/>
          </w:rPr>
          <w:t>July 2, 2025</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u w:val="single" w:color="auto"/>
            <w:color w:val="0000EE"/>
          </w:rPr>
          <w:t>July 2, 2025</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u w:val="single" w:color="auto"/>
            <w:color w:val="0000EE"/>
          </w:rPr>
          <w:t>July 8, 2025</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u w:val="single" w:color="auto"/>
            <w:color w:val="0000EE"/>
          </w:rPr>
          <w:t>July 9, 2025</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u w:val="single" w:color="auto"/>
            <w:color w:val="0000EE"/>
          </w:rPr>
          <w:t>August 12, 2025</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u w:val="single" w:color="auto"/>
            <w:color w:val="0000EE"/>
          </w:rPr>
          <w:t>August 15, 2025</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u w:val="single" w:color="auto"/>
            <w:color w:val="0000EE"/>
          </w:rPr>
          <w:t>September 5,</w:t>
        </w:r>
      </w:hyperlink>
      <w:r>
        <w:rPr>
          <w:rFonts w:ascii="Times New Roman" w:cs="Times New Roman" w:eastAsia="Times New Roman" w:hAnsi="Times New Roman"/>
          <w:sz w:val="14"/>
          <w:szCs w:val="14"/>
          <w:color w:val="0000EE"/>
        </w:rPr>
        <w:t xml:space="preserve"> </w:t>
      </w:r>
      <w:hyperlink r:id="rId24">
        <w:r>
          <w:rPr>
            <w:rFonts w:ascii="Times New Roman" w:cs="Times New Roman" w:eastAsia="Times New Roman" w:hAnsi="Times New Roman"/>
            <w:sz w:val="14"/>
            <w:szCs w:val="14"/>
            <w:u w:val="single" w:color="auto"/>
            <w:color w:val="0000EE"/>
          </w:rPr>
          <w:t>2025</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w:t>
        </w:r>
      </w:hyperlink>
      <w:hyperlink r:id="rId25">
        <w:r>
          <w:rPr>
            <w:rFonts w:ascii="Times New Roman" w:cs="Times New Roman" w:eastAsia="Times New Roman" w:hAnsi="Times New Roman"/>
            <w:sz w:val="14"/>
            <w:szCs w:val="14"/>
            <w:u w:val="single" w:color="auto"/>
            <w:color w:val="0000EE"/>
          </w:rPr>
          <w:t>October 14, 2025</w:t>
        </w:r>
      </w:hyperlink>
      <w:hyperlink r:id="rId24">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w:t>
        </w:r>
      </w:hyperlink>
      <w:hyperlink r:id="rId26">
        <w:r>
          <w:rPr>
            <w:rFonts w:ascii="Times New Roman" w:cs="Times New Roman" w:eastAsia="Times New Roman" w:hAnsi="Times New Roman"/>
            <w:sz w:val="14"/>
            <w:szCs w:val="14"/>
            <w:u w:val="single" w:color="auto"/>
            <w:color w:val="0000EE"/>
          </w:rPr>
          <w:t xml:space="preserve">November 5, 2025 </w:t>
        </w:r>
      </w:hyperlink>
      <w:hyperlink r:id="rId24">
        <w:r>
          <w:rPr>
            <w:rFonts w:ascii="Times New Roman" w:cs="Times New Roman" w:eastAsia="Times New Roman" w:hAnsi="Times New Roman"/>
            <w:sz w:val="14"/>
            <w:szCs w:val="14"/>
            <w:color w:val="000000"/>
          </w:rPr>
          <w:t>and</w:t>
        </w:r>
        <w:r>
          <w:rPr>
            <w:rFonts w:ascii="Times New Roman" w:cs="Times New Roman" w:eastAsia="Times New Roman" w:hAnsi="Times New Roman"/>
            <w:sz w:val="14"/>
            <w:szCs w:val="14"/>
            <w:color w:val="0000EE"/>
          </w:rPr>
          <w:t xml:space="preserve"> </w:t>
        </w:r>
      </w:hyperlink>
      <w:hyperlink r:id="rId27">
        <w:r>
          <w:rPr>
            <w:rFonts w:ascii="Times New Roman" w:cs="Times New Roman" w:eastAsia="Times New Roman" w:hAnsi="Times New Roman"/>
            <w:sz w:val="14"/>
            <w:szCs w:val="14"/>
            <w:u w:val="single" w:color="auto"/>
            <w:color w:val="0000EE"/>
          </w:rPr>
          <w:t>November 26, 2025</w:t>
        </w:r>
      </w:hyperlink>
      <w:hyperlink r:id="rId24">
        <w:r>
          <w:rPr>
            <w:rFonts w:ascii="Times New Roman" w:cs="Times New Roman" w:eastAsia="Times New Roman" w:hAnsi="Times New Roman"/>
            <w:sz w:val="14"/>
            <w:szCs w:val="14"/>
            <w:color w:val="000000"/>
          </w:rPr>
          <w:t>;</w:t>
        </w:r>
      </w:hyperlink>
    </w:p>
    <w:p>
      <w:pPr>
        <w:spacing w:after="0" w:line="70" w:lineRule="exact"/>
        <w:rPr>
          <w:rFonts w:ascii="Times New Roman" w:cs="Times New Roman" w:eastAsia="Times New Roman" w:hAnsi="Times New Roman"/>
          <w:sz w:val="14"/>
          <w:szCs w:val="14"/>
          <w:color w:val="0000EE"/>
        </w:rPr>
      </w:pPr>
    </w:p>
    <w:p>
      <w:pPr>
        <w:ind w:left="2200" w:right="399" w:hanging="338"/>
        <w:spacing w:after="0" w:line="256" w:lineRule="auto"/>
        <w:tabs>
          <w:tab w:leader="none" w:pos="22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sections of Southwest Gas Holdings, Inc.’s Definitive Proxy Statement on </w:t>
      </w:r>
      <w:hyperlink r:id="rId28">
        <w:r>
          <w:rPr>
            <w:rFonts w:ascii="Times New Roman" w:cs="Times New Roman" w:eastAsia="Times New Roman" w:hAnsi="Times New Roman"/>
            <w:sz w:val="14"/>
            <w:szCs w:val="14"/>
            <w:u w:val="single" w:color="auto"/>
            <w:color w:val="0000EE"/>
          </w:rPr>
          <w:t>Schedule 14A</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filed on March 17, 2025 that are specifically incorporated by reference into the Annual Report on Form 10-K of Southwest Gas Holdings, Inc. and Southwest Gas Corporation for the year ended December 31, 2024;</w:t>
      </w:r>
    </w:p>
    <w:p>
      <w:pPr>
        <w:spacing w:after="0" w:line="70" w:lineRule="exact"/>
        <w:rPr>
          <w:rFonts w:ascii="Times New Roman" w:cs="Times New Roman" w:eastAsia="Times New Roman" w:hAnsi="Times New Roman"/>
          <w:sz w:val="14"/>
          <w:szCs w:val="14"/>
          <w:color w:val="auto"/>
        </w:rPr>
      </w:pPr>
    </w:p>
    <w:p>
      <w:pPr>
        <w:ind w:left="2200" w:right="339" w:hanging="338"/>
        <w:spacing w:after="0" w:line="267" w:lineRule="auto"/>
        <w:tabs>
          <w:tab w:leader="none" w:pos="22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description of our Common Stock contained in </w:t>
      </w:r>
      <w:hyperlink r:id="rId29">
        <w:r>
          <w:rPr>
            <w:rFonts w:ascii="Times New Roman" w:cs="Times New Roman" w:eastAsia="Times New Roman" w:hAnsi="Times New Roman"/>
            <w:sz w:val="14"/>
            <w:szCs w:val="14"/>
            <w:u w:val="single" w:color="auto"/>
            <w:color w:val="0000EE"/>
          </w:rPr>
          <w:t>Exhibit 4.24</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to our Annual Report on Form 10-K filed on February 28, 2024, including any amendment or reports filed for purposes of updating such description; and</w:t>
      </w:r>
    </w:p>
    <w:p>
      <w:pPr>
        <w:spacing w:after="0" w:line="63" w:lineRule="exact"/>
        <w:rPr>
          <w:rFonts w:ascii="Times New Roman" w:cs="Times New Roman" w:eastAsia="Times New Roman" w:hAnsi="Times New Roman"/>
          <w:sz w:val="14"/>
          <w:szCs w:val="14"/>
          <w:color w:val="auto"/>
        </w:rPr>
      </w:pPr>
    </w:p>
    <w:p>
      <w:pPr>
        <w:ind w:left="2200" w:right="459" w:hanging="338"/>
        <w:spacing w:after="0" w:line="267" w:lineRule="auto"/>
        <w:tabs>
          <w:tab w:leader="none" w:pos="22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future filings that we make with the SEC under Sections 13(a), 13(c), 14 or 15(d) of the Securities Exchange Act on or after the date of this prospectus supplement until the termination of the offering of shares of our Common Stock.</w:t>
      </w:r>
    </w:p>
    <w:p>
      <w:pPr>
        <w:spacing w:after="0" w:line="84" w:lineRule="exact"/>
        <w:rPr>
          <w:rFonts w:ascii="Times New Roman" w:cs="Times New Roman" w:eastAsia="Times New Roman" w:hAnsi="Times New Roman"/>
          <w:sz w:val="14"/>
          <w:szCs w:val="14"/>
          <w:color w:val="auto"/>
        </w:rPr>
      </w:pPr>
    </w:p>
    <w:p>
      <w:pPr>
        <w:ind w:left="5540"/>
        <w:spacing w:after="0"/>
        <w:rPr>
          <w:sz w:val="20"/>
          <w:szCs w:val="20"/>
          <w:color w:val="auto"/>
        </w:rPr>
      </w:pPr>
      <w:r>
        <w:rPr>
          <w:rFonts w:ascii="Times New Roman" w:cs="Times New Roman" w:eastAsia="Times New Roman" w:hAnsi="Times New Roman"/>
          <w:sz w:val="14"/>
          <w:szCs w:val="14"/>
          <w:color w:val="auto"/>
        </w:rPr>
        <w:t>S-4</w:t>
      </w:r>
    </w:p>
    <w:p>
      <w:pPr>
        <w:sectPr>
          <w:pgSz w:w="11900" w:h="16838" w:orient="portrait"/>
          <w:cols w:equalWidth="0" w:num="1">
            <w:col w:w="10159"/>
          </w:cols>
          <w:pgMar w:left="300" w:top="380" w:right="1440"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0">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44" w:lineRule="exact"/>
        <w:rPr>
          <w:sz w:val="20"/>
          <w:szCs w:val="20"/>
          <w:color w:val="auto"/>
        </w:rPr>
      </w:pPr>
    </w:p>
    <w:p>
      <w:pPr>
        <w:ind w:left="1460" w:right="559" w:firstLine="335"/>
        <w:spacing w:after="0" w:line="256" w:lineRule="auto"/>
        <w:rPr>
          <w:sz w:val="20"/>
          <w:szCs w:val="20"/>
          <w:color w:val="auto"/>
        </w:rPr>
      </w:pPr>
      <w:r>
        <w:rPr>
          <w:rFonts w:ascii="Times New Roman" w:cs="Times New Roman" w:eastAsia="Times New Roman" w:hAnsi="Times New Roman"/>
          <w:sz w:val="14"/>
          <w:szCs w:val="14"/>
          <w:color w:val="auto"/>
        </w:rPr>
        <w:t>You may obtain a copy of any or all of the documents referred to above which may have been or may be incorporated by reference into this prospectus supplement (excluding certain exhibits unless they are specifically incorporated by reference in any such documents) at no cost to you by writing or telephoning us at the following:</w:t>
      </w:r>
    </w:p>
    <w:p>
      <w:pPr>
        <w:spacing w:after="0" w:line="13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Southwest Gas Holdings, Inc.</w:t>
      </w:r>
    </w:p>
    <w:p>
      <w:pPr>
        <w:spacing w:after="0" w:line="1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8360 S. Durango Dr.</w:t>
      </w:r>
    </w:p>
    <w:p>
      <w:pPr>
        <w:spacing w:after="0" w:line="3"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P.O. Box 98510</w:t>
      </w:r>
    </w:p>
    <w:p>
      <w:pPr>
        <w:spacing w:after="0" w:line="3"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Las Vegas, Nevada 89193-8510</w:t>
      </w:r>
    </w:p>
    <w:p>
      <w:pPr>
        <w:spacing w:after="0" w:line="3"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Attention: Corporate Secretary</w:t>
      </w:r>
    </w:p>
    <w:p>
      <w:pPr>
        <w:spacing w:after="0" w:line="3"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Telephone: (702) 876-7237</w:t>
      </w:r>
    </w:p>
    <w:p>
      <w:pPr>
        <w:spacing w:after="0" w:line="10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S-5</w:t>
      </w:r>
    </w:p>
    <w:p>
      <w:pPr>
        <w:sectPr>
          <w:pgSz w:w="11900" w:h="16838" w:orient="portrait"/>
          <w:cols w:equalWidth="0" w:num="1">
            <w:col w:w="10159"/>
          </w:cols>
          <w:pgMar w:left="300" w:top="380" w:right="1440"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1">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918210</wp:posOffset>
            </wp:positionH>
            <wp:positionV relativeFrom="paragraph">
              <wp:posOffset>160020</wp:posOffset>
            </wp:positionV>
            <wp:extent cx="5330825" cy="25838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2">
                      <a:extLst>
                        <a:ext uri="{28A0092B-C50C-407E-A947-70E740481C1C}"/>
                      </a:extLst>
                    </a:blip>
                    <a:srcRect/>
                    <a:stretch>
                      <a:fillRect/>
                    </a:stretch>
                  </pic:blipFill>
                  <pic:spPr bwMode="auto">
                    <a:xfrm>
                      <a:off x="0" y="0"/>
                      <a:ext cx="5330825" cy="2583815"/>
                    </a:xfrm>
                    <a:prstGeom prst="rect">
                      <a:avLst/>
                    </a:prstGeom>
                    <a:noFill/>
                  </pic:spPr>
                </pic:pic>
              </a:graphicData>
            </a:graphic>
          </wp:anchor>
        </w:drawing>
      </w:r>
    </w:p>
    <w:p>
      <w:pPr>
        <w:spacing w:after="0" w:line="35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SUMMARY</w:t>
      </w:r>
    </w:p>
    <w:p>
      <w:pPr>
        <w:spacing w:after="0" w:line="168" w:lineRule="exact"/>
        <w:rPr>
          <w:sz w:val="20"/>
          <w:szCs w:val="20"/>
          <w:color w:val="auto"/>
        </w:rPr>
      </w:pPr>
    </w:p>
    <w:p>
      <w:pPr>
        <w:ind w:left="1600" w:right="519" w:firstLine="324"/>
        <w:spacing w:after="0" w:line="276" w:lineRule="auto"/>
        <w:rPr>
          <w:sz w:val="20"/>
          <w:szCs w:val="20"/>
          <w:color w:val="auto"/>
        </w:rPr>
      </w:pPr>
      <w:r>
        <w:rPr>
          <w:rFonts w:ascii="Times New Roman" w:cs="Times New Roman" w:eastAsia="Times New Roman" w:hAnsi="Times New Roman"/>
          <w:sz w:val="13"/>
          <w:szCs w:val="13"/>
          <w:i w:val="1"/>
          <w:iCs w:val="1"/>
          <w:color w:val="auto"/>
        </w:rPr>
        <w:t>This summary highlights information contained elsewhere or incorporated by reference in this prospectus supplement and the accompanying prospectus. Because it is a summary, it does not contain all of the information that you should consider before investing in our Common Stock. You should read this entire prospectus supplement, the accompanying prospectus and the documents incorporated by reference carefully, including the sections entitled “Risk Factors” and the financial statements and related notes thereto included or incorporated by reference in this prospectus supplement and the accompanying prospectus in their entirety before making an investment decision.</w:t>
      </w:r>
    </w:p>
    <w:p>
      <w:pPr>
        <w:spacing w:after="0" w:line="29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Southwest Gas Holdings, Inc.</w:t>
      </w:r>
    </w:p>
    <w:p>
      <w:pPr>
        <w:spacing w:after="0" w:line="172" w:lineRule="exact"/>
        <w:rPr>
          <w:sz w:val="20"/>
          <w:szCs w:val="20"/>
          <w:color w:val="auto"/>
        </w:rPr>
      </w:pPr>
    </w:p>
    <w:p>
      <w:pPr>
        <w:jc w:val="both"/>
        <w:ind w:left="1600" w:right="699" w:firstLine="324"/>
        <w:spacing w:after="0" w:line="256" w:lineRule="auto"/>
        <w:rPr>
          <w:sz w:val="20"/>
          <w:szCs w:val="20"/>
          <w:color w:val="auto"/>
        </w:rPr>
      </w:pPr>
      <w:r>
        <w:rPr>
          <w:rFonts w:ascii="Times New Roman" w:cs="Times New Roman" w:eastAsia="Times New Roman" w:hAnsi="Times New Roman"/>
          <w:sz w:val="14"/>
          <w:szCs w:val="14"/>
          <w:color w:val="auto"/>
        </w:rPr>
        <w:t>Southwest Gas Holdings, Inc., a Delaware corporation, is a holding company headquartered in Las Vegas, Nevada. Through our primary operating subsidiary, Southwest, incorporated in March 1931 under the laws of the state of California, we engage in the business of purchasing, distributing, and transporting natural gas for customers in portions of Arizona, Nevada, and California.</w:t>
      </w:r>
    </w:p>
    <w:p>
      <w:pPr>
        <w:spacing w:after="0" w:line="30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Corporate Information</w:t>
      </w:r>
    </w:p>
    <w:p>
      <w:pPr>
        <w:spacing w:after="0" w:line="172" w:lineRule="exact"/>
        <w:rPr>
          <w:sz w:val="20"/>
          <w:szCs w:val="20"/>
          <w:color w:val="auto"/>
        </w:rPr>
      </w:pPr>
    </w:p>
    <w:p>
      <w:pPr>
        <w:ind w:left="1600" w:right="499" w:firstLine="324"/>
        <w:spacing w:after="0" w:line="250" w:lineRule="auto"/>
        <w:rPr>
          <w:sz w:val="20"/>
          <w:szCs w:val="20"/>
          <w:color w:val="auto"/>
        </w:rPr>
      </w:pPr>
      <w:r>
        <w:rPr>
          <w:rFonts w:ascii="Times New Roman" w:cs="Times New Roman" w:eastAsia="Times New Roman" w:hAnsi="Times New Roman"/>
          <w:sz w:val="14"/>
          <w:szCs w:val="14"/>
          <w:color w:val="auto"/>
        </w:rPr>
        <w:t>Our corporate headquarters is located at 8360 S. Durango Dr., Las Vegas, NV 89113, telephone number (702) 876-7237. We maintain a website (www.swgasholdings.com) for the benefit of stockholders, investors, customers, and other interested parties. Our Annual Report on Form 10-K, Quarterly Reports on Form 10-Q, Current Reports on Form 8-K, and all amendments to those reports are available, free of charge, through the www.swgasholdings.com website as soon as reasonably practicable after such material is electronically filed with, or furnished to, the SEC. We are not incorporating the contents of the website into this prospectus supplement.</w:t>
      </w:r>
    </w:p>
    <w:p>
      <w:pPr>
        <w:spacing w:after="0" w:line="24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S-6</w:t>
      </w:r>
    </w:p>
    <w:p>
      <w:pPr>
        <w:sectPr>
          <w:pgSz w:w="11900" w:h="16838" w:orient="portrait"/>
          <w:cols w:equalWidth="0" w:num="1">
            <w:col w:w="10159"/>
          </w:cols>
          <w:pgMar w:left="300" w:top="380" w:right="1440"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3">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918210</wp:posOffset>
            </wp:positionH>
            <wp:positionV relativeFrom="paragraph">
              <wp:posOffset>160020</wp:posOffset>
            </wp:positionV>
            <wp:extent cx="5330825" cy="21202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4">
                      <a:extLst>
                        <a:ext uri="{28A0092B-C50C-407E-A947-70E740481C1C}"/>
                      </a:extLst>
                    </a:blip>
                    <a:srcRect/>
                    <a:stretch>
                      <a:fillRect/>
                    </a:stretch>
                  </pic:blipFill>
                  <pic:spPr bwMode="auto">
                    <a:xfrm>
                      <a:off x="0" y="0"/>
                      <a:ext cx="5330825" cy="2120265"/>
                    </a:xfrm>
                    <a:prstGeom prst="rect">
                      <a:avLst/>
                    </a:prstGeom>
                    <a:noFill/>
                  </pic:spPr>
                </pic:pic>
              </a:graphicData>
            </a:graphic>
          </wp:anchor>
        </w:drawing>
      </w:r>
    </w:p>
    <w:p>
      <w:pPr>
        <w:spacing w:after="0" w:line="35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The Offering</w:t>
      </w:r>
    </w:p>
    <w:p>
      <w:pPr>
        <w:spacing w:after="0" w:line="168" w:lineRule="exact"/>
        <w:rPr>
          <w:sz w:val="20"/>
          <w:szCs w:val="20"/>
          <w:color w:val="auto"/>
        </w:rPr>
      </w:pPr>
    </w:p>
    <w:p>
      <w:pPr>
        <w:ind w:left="1600" w:right="579" w:firstLine="324"/>
        <w:spacing w:after="0" w:line="273" w:lineRule="auto"/>
        <w:rPr>
          <w:sz w:val="20"/>
          <w:szCs w:val="20"/>
          <w:color w:val="auto"/>
        </w:rPr>
      </w:pPr>
      <w:r>
        <w:rPr>
          <w:rFonts w:ascii="Times New Roman" w:cs="Times New Roman" w:eastAsia="Times New Roman" w:hAnsi="Times New Roman"/>
          <w:sz w:val="14"/>
          <w:szCs w:val="14"/>
          <w:i w:val="1"/>
          <w:iCs w:val="1"/>
          <w:color w:val="auto"/>
        </w:rPr>
        <w:t xml:space="preserve">The offering terms are summarized below solely for your convenience. For a more complete description of the terms of our </w:t>
      </w:r>
      <w:r>
        <w:rPr>
          <w:rFonts w:ascii="Times New Roman" w:cs="Times New Roman" w:eastAsia="Times New Roman" w:hAnsi="Times New Roman"/>
          <w:sz w:val="14"/>
          <w:szCs w:val="14"/>
          <w:color w:val="auto"/>
        </w:rPr>
        <w:t>Common Stock</w:t>
      </w:r>
      <w:r>
        <w:rPr>
          <w:rFonts w:ascii="Times New Roman" w:cs="Times New Roman" w:eastAsia="Times New Roman" w:hAnsi="Times New Roman"/>
          <w:sz w:val="14"/>
          <w:szCs w:val="14"/>
          <w:i w:val="1"/>
          <w:iCs w:val="1"/>
          <w:color w:val="auto"/>
        </w:rPr>
        <w:t>, see “Description of Capital Stock” in the accompanying prospectus.</w:t>
      </w:r>
    </w:p>
    <w:p>
      <w:pPr>
        <w:spacing w:after="0" w:line="148" w:lineRule="exact"/>
        <w:rPr>
          <w:sz w:val="20"/>
          <w:szCs w:val="20"/>
          <w:color w:val="auto"/>
        </w:rPr>
      </w:pPr>
    </w:p>
    <w:tbl>
      <w:tblPr>
        <w:tblLayout w:type="fixed"/>
        <w:tblInd w:w="1440" w:type="dxa"/>
        <w:tblCellMar>
          <w:top w:w="0" w:type="dxa"/>
          <w:left w:w="0" w:type="dxa"/>
          <w:bottom w:w="0" w:type="dxa"/>
          <w:right w:w="0" w:type="dxa"/>
        </w:tblCellMar>
      </w:tblPr>
      <w:tr>
        <w:trPr>
          <w:trHeight w:val="180"/>
        </w:trPr>
        <w:tc>
          <w:tcPr>
            <w:tcW w:w="308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Issuer</w:t>
            </w:r>
          </w:p>
        </w:tc>
        <w:tc>
          <w:tcPr>
            <w:tcW w:w="5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Southwest Gas Holdings, Inc.</w:t>
            </w:r>
          </w:p>
        </w:tc>
      </w:tr>
      <w:tr>
        <w:trPr>
          <w:trHeight w:val="252"/>
        </w:trPr>
        <w:tc>
          <w:tcPr>
            <w:tcW w:w="308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Common Stock registered for sale by the selling</w:t>
            </w:r>
          </w:p>
        </w:tc>
        <w:tc>
          <w:tcPr>
            <w:tcW w:w="5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6,032,604 shares</w:t>
            </w:r>
          </w:p>
        </w:tc>
      </w:tr>
      <w:tr>
        <w:trPr>
          <w:trHeight w:val="180"/>
        </w:trPr>
        <w:tc>
          <w:tcPr>
            <w:tcW w:w="308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5320" w:type="dxa"/>
            <w:vAlign w:val="bottom"/>
          </w:tcPr>
          <w:p>
            <w:pPr>
              <w:spacing w:after="0"/>
              <w:rPr>
                <w:sz w:val="15"/>
                <w:szCs w:val="15"/>
                <w:color w:val="auto"/>
              </w:rPr>
            </w:pPr>
          </w:p>
        </w:tc>
      </w:tr>
      <w:tr>
        <w:trPr>
          <w:trHeight w:val="256"/>
        </w:trPr>
        <w:tc>
          <w:tcPr>
            <w:tcW w:w="308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Use of proceeds</w:t>
            </w:r>
          </w:p>
        </w:tc>
        <w:tc>
          <w:tcPr>
            <w:tcW w:w="5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The selling stockholders will receive all of the net proceeds from the sale of any Common</w:t>
            </w:r>
          </w:p>
        </w:tc>
      </w:tr>
      <w:tr>
        <w:trPr>
          <w:trHeight w:val="160"/>
        </w:trPr>
        <w:tc>
          <w:tcPr>
            <w:tcW w:w="3080" w:type="dxa"/>
            <w:vAlign w:val="bottom"/>
          </w:tcPr>
          <w:p>
            <w:pPr>
              <w:spacing w:after="0"/>
              <w:rPr>
                <w:sz w:val="13"/>
                <w:szCs w:val="13"/>
                <w:color w:val="auto"/>
              </w:rPr>
            </w:pPr>
          </w:p>
        </w:tc>
        <w:tc>
          <w:tcPr>
            <w:tcW w:w="5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Stock sold by them pursuant to this prospectus supplement. We will not receive any</w:t>
            </w:r>
          </w:p>
        </w:tc>
      </w:tr>
      <w:tr>
        <w:trPr>
          <w:trHeight w:val="180"/>
        </w:trPr>
        <w:tc>
          <w:tcPr>
            <w:tcW w:w="3080" w:type="dxa"/>
            <w:vAlign w:val="bottom"/>
          </w:tcPr>
          <w:p>
            <w:pPr>
              <w:spacing w:after="0"/>
              <w:rPr>
                <w:sz w:val="15"/>
                <w:szCs w:val="15"/>
                <w:color w:val="auto"/>
              </w:rPr>
            </w:pPr>
          </w:p>
        </w:tc>
        <w:tc>
          <w:tcPr>
            <w:tcW w:w="5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proceeds from these sales. See “</w:t>
            </w:r>
            <w:r>
              <w:rPr>
                <w:rFonts w:ascii="Times New Roman" w:cs="Times New Roman" w:eastAsia="Times New Roman" w:hAnsi="Times New Roman"/>
                <w:sz w:val="14"/>
                <w:szCs w:val="14"/>
                <w:i w:val="1"/>
                <w:iCs w:val="1"/>
                <w:color w:val="auto"/>
              </w:rPr>
              <w:t>Use of Proceeds</w:t>
            </w:r>
            <w:r>
              <w:rPr>
                <w:rFonts w:ascii="Times New Roman" w:cs="Times New Roman" w:eastAsia="Times New Roman" w:hAnsi="Times New Roman"/>
                <w:sz w:val="14"/>
                <w:szCs w:val="14"/>
                <w:color w:val="auto"/>
              </w:rPr>
              <w:t>.”</w:t>
            </w:r>
          </w:p>
        </w:tc>
      </w:tr>
      <w:tr>
        <w:trPr>
          <w:trHeight w:val="241"/>
        </w:trPr>
        <w:tc>
          <w:tcPr>
            <w:tcW w:w="308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Risk Factors</w:t>
            </w:r>
          </w:p>
        </w:tc>
        <w:tc>
          <w:tcPr>
            <w:tcW w:w="5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See “</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 beginning on page S-8 of this prospectus supplement and under Item</w:t>
            </w:r>
          </w:p>
        </w:tc>
      </w:tr>
      <w:tr>
        <w:trPr>
          <w:trHeight w:val="168"/>
        </w:trPr>
        <w:tc>
          <w:tcPr>
            <w:tcW w:w="3080" w:type="dxa"/>
            <w:vAlign w:val="bottom"/>
          </w:tcPr>
          <w:p>
            <w:pPr>
              <w:spacing w:after="0"/>
              <w:rPr>
                <w:sz w:val="14"/>
                <w:szCs w:val="14"/>
                <w:color w:val="auto"/>
              </w:rPr>
            </w:pPr>
          </w:p>
        </w:tc>
        <w:tc>
          <w:tcPr>
            <w:tcW w:w="5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1A “</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 in our Annual Report on Form 10-K for the year ended December 31,</w:t>
            </w:r>
          </w:p>
        </w:tc>
      </w:tr>
      <w:tr>
        <w:trPr>
          <w:trHeight w:val="164"/>
        </w:trPr>
        <w:tc>
          <w:tcPr>
            <w:tcW w:w="3080" w:type="dxa"/>
            <w:vAlign w:val="bottom"/>
          </w:tcPr>
          <w:p>
            <w:pPr>
              <w:spacing w:after="0"/>
              <w:rPr>
                <w:sz w:val="14"/>
                <w:szCs w:val="14"/>
                <w:color w:val="auto"/>
              </w:rPr>
            </w:pPr>
          </w:p>
        </w:tc>
        <w:tc>
          <w:tcPr>
            <w:tcW w:w="5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2024 for a discussion of risks you should carefully consider before deciding to invest in the</w:t>
            </w:r>
          </w:p>
        </w:tc>
      </w:tr>
      <w:tr>
        <w:trPr>
          <w:trHeight w:val="176"/>
        </w:trPr>
        <w:tc>
          <w:tcPr>
            <w:tcW w:w="3080" w:type="dxa"/>
            <w:vAlign w:val="bottom"/>
          </w:tcPr>
          <w:p>
            <w:pPr>
              <w:spacing w:after="0"/>
              <w:rPr>
                <w:sz w:val="15"/>
                <w:szCs w:val="15"/>
                <w:color w:val="auto"/>
              </w:rPr>
            </w:pPr>
          </w:p>
        </w:tc>
        <w:tc>
          <w:tcPr>
            <w:tcW w:w="5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Common Stock.</w:t>
            </w:r>
          </w:p>
        </w:tc>
      </w:tr>
      <w:tr>
        <w:trPr>
          <w:trHeight w:val="257"/>
        </w:trPr>
        <w:tc>
          <w:tcPr>
            <w:tcW w:w="308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New York Stock Exchange symbol</w:t>
            </w:r>
          </w:p>
        </w:tc>
        <w:tc>
          <w:tcPr>
            <w:tcW w:w="5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“SWX”</w:t>
            </w:r>
          </w:p>
        </w:tc>
      </w:tr>
      <w:tr>
        <w:trPr>
          <w:trHeight w:val="140"/>
        </w:trPr>
        <w:tc>
          <w:tcPr>
            <w:tcW w:w="3080" w:type="dxa"/>
            <w:vAlign w:val="bottom"/>
            <w:tcBorders>
              <w:bottom w:val="single" w:sz="8" w:color="auto"/>
            </w:tcBorders>
          </w:tcPr>
          <w:p>
            <w:pPr>
              <w:spacing w:after="0"/>
              <w:rPr>
                <w:sz w:val="12"/>
                <w:szCs w:val="12"/>
                <w:color w:val="auto"/>
              </w:rPr>
            </w:pPr>
          </w:p>
        </w:tc>
        <w:tc>
          <w:tcPr>
            <w:tcW w:w="5320" w:type="dxa"/>
            <w:vAlign w:val="bottom"/>
            <w:tcBorders>
              <w:bottom w:val="single" w:sz="8" w:color="auto"/>
            </w:tcBorders>
          </w:tcPr>
          <w:p>
            <w:pPr>
              <w:spacing w:after="0"/>
              <w:rPr>
                <w:sz w:val="12"/>
                <w:szCs w:val="12"/>
                <w:color w:val="auto"/>
              </w:rPr>
            </w:pPr>
          </w:p>
        </w:tc>
      </w:tr>
      <w:tr>
        <w:trPr>
          <w:trHeight w:val="271"/>
        </w:trPr>
        <w:tc>
          <w:tcPr>
            <w:tcW w:w="3080" w:type="dxa"/>
            <w:vAlign w:val="bottom"/>
          </w:tcPr>
          <w:p>
            <w:pPr>
              <w:spacing w:after="0"/>
              <w:rPr>
                <w:sz w:val="23"/>
                <w:szCs w:val="23"/>
                <w:color w:val="auto"/>
              </w:rPr>
            </w:pPr>
          </w:p>
        </w:tc>
        <w:tc>
          <w:tcPr>
            <w:tcW w:w="5320" w:type="dxa"/>
            <w:vAlign w:val="bottom"/>
          </w:tcPr>
          <w:p>
            <w:pPr>
              <w:ind w:left="1020"/>
              <w:spacing w:after="0"/>
              <w:rPr>
                <w:sz w:val="20"/>
                <w:szCs w:val="20"/>
                <w:color w:val="auto"/>
              </w:rPr>
            </w:pPr>
            <w:r>
              <w:rPr>
                <w:rFonts w:ascii="Times New Roman" w:cs="Times New Roman" w:eastAsia="Times New Roman" w:hAnsi="Times New Roman"/>
                <w:sz w:val="14"/>
                <w:szCs w:val="14"/>
                <w:color w:val="auto"/>
              </w:rPr>
              <w:t>S-7</w:t>
            </w:r>
          </w:p>
        </w:tc>
      </w:tr>
    </w:tbl>
    <w:p>
      <w:pPr>
        <w:sectPr>
          <w:pgSz w:w="11900" w:h="16838" w:orient="portrait"/>
          <w:cols w:equalWidth="0" w:num="1">
            <w:col w:w="10159"/>
          </w:cols>
          <w:pgMar w:left="300" w:top="380" w:right="1440"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5">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4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172" w:lineRule="exact"/>
        <w:rPr>
          <w:sz w:val="20"/>
          <w:szCs w:val="20"/>
          <w:color w:val="auto"/>
        </w:rPr>
      </w:pPr>
    </w:p>
    <w:p>
      <w:pPr>
        <w:ind w:left="1460" w:right="339" w:firstLine="335"/>
        <w:spacing w:after="0" w:line="247" w:lineRule="auto"/>
        <w:rPr>
          <w:sz w:val="20"/>
          <w:szCs w:val="20"/>
          <w:color w:val="auto"/>
        </w:rPr>
      </w:pPr>
      <w:r>
        <w:rPr>
          <w:rFonts w:ascii="Times New Roman" w:cs="Times New Roman" w:eastAsia="Times New Roman" w:hAnsi="Times New Roman"/>
          <w:sz w:val="14"/>
          <w:szCs w:val="14"/>
          <w:color w:val="auto"/>
        </w:rPr>
        <w:t>Investing in our Common Stock, involves a high degree of risk. You should carefully consider the risks and uncertainties described below, together with all of the other information incorporated by reference to our most recent Annual Report on Form 10-K, any subsequent Quarterly Reports on Form 10-Q or Current Reports on Form 8-K and all other information contained in or incorporated by reference into this prospectus supplement, as updated by our subsequent filings under the Exchange Act, and the risk factors and other information contained in any applicable prospectus supplement before acquiring any of such securities. If any of the following risks actually occurs, our business, prospects, operating results and financial condition could suffer materially, the trading price of our Common Stock could decline and you could lose all or part of your investment. The risks and uncertainties described below are not the only ones we face. Additional risks and uncertainties not presently known to us or that we currently believe to be immaterial also may materially and adversely affect our business, prospects, operating results and financial condition. Please also refer to the section entitled “</w:t>
      </w:r>
      <w:r>
        <w:rPr>
          <w:rFonts w:ascii="Times New Roman" w:cs="Times New Roman" w:eastAsia="Times New Roman" w:hAnsi="Times New Roman"/>
          <w:sz w:val="14"/>
          <w:szCs w:val="14"/>
          <w:i w:val="1"/>
          <w:iCs w:val="1"/>
          <w:color w:val="auto"/>
        </w:rPr>
        <w:t>Cautionary Statement Regarding Forward-Looking Information</w:t>
      </w:r>
      <w:r>
        <w:rPr>
          <w:rFonts w:ascii="Times New Roman" w:cs="Times New Roman" w:eastAsia="Times New Roman" w:hAnsi="Times New Roman"/>
          <w:sz w:val="14"/>
          <w:szCs w:val="14"/>
          <w:color w:val="auto"/>
        </w:rPr>
        <w:t>” in this prospectus supplement.</w:t>
      </w:r>
    </w:p>
    <w:p>
      <w:pPr>
        <w:spacing w:after="0" w:line="231" w:lineRule="exact"/>
        <w:rPr>
          <w:sz w:val="20"/>
          <w:szCs w:val="20"/>
          <w:color w:val="auto"/>
        </w:rPr>
      </w:pPr>
    </w:p>
    <w:p>
      <w:pPr>
        <w:ind w:left="1460" w:right="599"/>
        <w:spacing w:after="0" w:line="273" w:lineRule="auto"/>
        <w:rPr>
          <w:sz w:val="20"/>
          <w:szCs w:val="20"/>
          <w:color w:val="auto"/>
        </w:rPr>
      </w:pPr>
      <w:r>
        <w:rPr>
          <w:rFonts w:ascii="Times New Roman" w:cs="Times New Roman" w:eastAsia="Times New Roman" w:hAnsi="Times New Roman"/>
          <w:sz w:val="14"/>
          <w:szCs w:val="14"/>
          <w:b w:val="1"/>
          <w:bCs w:val="1"/>
          <w:i w:val="1"/>
          <w:iCs w:val="1"/>
          <w:color w:val="auto"/>
        </w:rPr>
        <w:t>Future sales by other holders of our Common Stock, or the perception that such sales may occur, could cause the price of our Common Stock to decline, potentially materially.</w:t>
      </w:r>
    </w:p>
    <w:p>
      <w:pPr>
        <w:spacing w:after="0" w:line="49" w:lineRule="exact"/>
        <w:rPr>
          <w:sz w:val="20"/>
          <w:szCs w:val="20"/>
          <w:color w:val="auto"/>
        </w:rPr>
      </w:pPr>
    </w:p>
    <w:p>
      <w:pPr>
        <w:ind w:left="1460" w:right="399" w:firstLine="335"/>
        <w:spacing w:after="0" w:line="248" w:lineRule="auto"/>
        <w:rPr>
          <w:sz w:val="20"/>
          <w:szCs w:val="20"/>
          <w:color w:val="auto"/>
        </w:rPr>
      </w:pPr>
      <w:r>
        <w:rPr>
          <w:rFonts w:ascii="Times New Roman" w:cs="Times New Roman" w:eastAsia="Times New Roman" w:hAnsi="Times New Roman"/>
          <w:sz w:val="14"/>
          <w:szCs w:val="14"/>
          <w:color w:val="auto"/>
        </w:rPr>
        <w:t>As of the date of this prospectus supplement, Carl C. Icahn and his affiliates (the “Icahn Group”) own an aggregate of approximately 8.4% of our Common Stock, based on 72,183,903 shares of Common Stock outstanding as of November 21, 2025. We are unable to predict with certainty whether or when the Icahn Group will dispose of a substantial number of shares of our Common Stock that they own. The sale of a substantial number of shares of our Common Stock by the Icahn Group, or the perception that such a sale could occur, could significantly reduce the prevailing market price of our Common Stock. Upon completion of this offering, except as otherwise described in this prospectus supplement, all of the shares of our Common Stock to be sold in this offering will be freely tradable without restriction or further registration under the Securities Act, assuming they are not held by our affiliates.</w:t>
      </w:r>
    </w:p>
    <w:p>
      <w:pPr>
        <w:spacing w:after="0" w:line="10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S-8</w:t>
      </w:r>
    </w:p>
    <w:p>
      <w:pPr>
        <w:sectPr>
          <w:pgSz w:w="11900" w:h="16838" w:orient="portrait"/>
          <w:cols w:equalWidth="0" w:num="1">
            <w:col w:w="10159"/>
          </w:cols>
          <w:pgMar w:left="300" w:top="380" w:right="1440"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6">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4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172" w:lineRule="exact"/>
        <w:rPr>
          <w:sz w:val="20"/>
          <w:szCs w:val="20"/>
          <w:color w:val="auto"/>
        </w:rPr>
      </w:pPr>
    </w:p>
    <w:p>
      <w:pPr>
        <w:ind w:left="1460" w:right="719" w:firstLine="335"/>
        <w:spacing w:after="0" w:line="306" w:lineRule="auto"/>
        <w:rPr>
          <w:sz w:val="20"/>
          <w:szCs w:val="20"/>
          <w:color w:val="auto"/>
        </w:rPr>
      </w:pPr>
      <w:r>
        <w:rPr>
          <w:rFonts w:ascii="Times New Roman" w:cs="Times New Roman" w:eastAsia="Times New Roman" w:hAnsi="Times New Roman"/>
          <w:sz w:val="13"/>
          <w:szCs w:val="13"/>
          <w:color w:val="auto"/>
        </w:rPr>
        <w:t>We will not receive any cash proceeds from the possible resale from time to time of some or all of such shares of our Common Stock by the selling stockholders named in this prospectus supplement. The proceeds from the offering are solely for the account of the selling stockholders.</w:t>
      </w:r>
    </w:p>
    <w:p>
      <w:pPr>
        <w:spacing w:after="0" w:line="112" w:lineRule="exact"/>
        <w:rPr>
          <w:sz w:val="20"/>
          <w:szCs w:val="20"/>
          <w:color w:val="auto"/>
        </w:rPr>
      </w:pPr>
    </w:p>
    <w:p>
      <w:pPr>
        <w:ind w:left="1460" w:right="319" w:firstLine="335"/>
        <w:spacing w:after="0" w:line="267" w:lineRule="auto"/>
        <w:rPr>
          <w:sz w:val="20"/>
          <w:szCs w:val="20"/>
          <w:color w:val="auto"/>
        </w:rPr>
      </w:pPr>
      <w:r>
        <w:rPr>
          <w:rFonts w:ascii="Times New Roman" w:cs="Times New Roman" w:eastAsia="Times New Roman" w:hAnsi="Times New Roman"/>
          <w:sz w:val="14"/>
          <w:szCs w:val="14"/>
          <w:color w:val="auto"/>
        </w:rPr>
        <w:t>We have agreed to pay certain expenses incurred in connection with the registration of the resale of shares of Common Stock under this prospectus supplement. See “</w:t>
      </w:r>
      <w:r>
        <w:rPr>
          <w:rFonts w:ascii="Times New Roman" w:cs="Times New Roman" w:eastAsia="Times New Roman" w:hAnsi="Times New Roman"/>
          <w:sz w:val="14"/>
          <w:szCs w:val="14"/>
          <w:i w:val="1"/>
          <w:iCs w:val="1"/>
          <w:color w:val="auto"/>
        </w:rPr>
        <w:t>Selling Stockholders</w:t>
      </w:r>
      <w:r>
        <w:rPr>
          <w:rFonts w:ascii="Times New Roman" w:cs="Times New Roman" w:eastAsia="Times New Roman" w:hAnsi="Times New Roman"/>
          <w:sz w:val="14"/>
          <w:szCs w:val="14"/>
          <w:color w:val="auto"/>
        </w:rPr>
        <w:t>” and “</w:t>
      </w:r>
      <w:r>
        <w:rPr>
          <w:rFonts w:ascii="Times New Roman" w:cs="Times New Roman" w:eastAsia="Times New Roman" w:hAnsi="Times New Roman"/>
          <w:sz w:val="14"/>
          <w:szCs w:val="14"/>
          <w:i w:val="1"/>
          <w:iCs w:val="1"/>
          <w:color w:val="auto"/>
        </w:rPr>
        <w:t>Plan of Distribution</w:t>
      </w:r>
      <w:r>
        <w:rPr>
          <w:rFonts w:ascii="Times New Roman" w:cs="Times New Roman" w:eastAsia="Times New Roman" w:hAnsi="Times New Roman"/>
          <w:sz w:val="14"/>
          <w:szCs w:val="14"/>
          <w:color w:val="auto"/>
        </w:rPr>
        <w:t>.”</w:t>
      </w:r>
    </w:p>
    <w:p>
      <w:pPr>
        <w:spacing w:after="0" w:line="8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S-9</w:t>
      </w:r>
    </w:p>
    <w:p>
      <w:pPr>
        <w:sectPr>
          <w:pgSz w:w="11900" w:h="16838" w:orient="portrait"/>
          <w:cols w:equalWidth="0" w:num="1">
            <w:col w:w="10159"/>
          </w:cols>
          <w:pgMar w:left="300" w:top="380" w:right="1440"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7">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4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SELLING STOCKHOLDERS</w:t>
      </w:r>
    </w:p>
    <w:p>
      <w:pPr>
        <w:spacing w:after="0" w:line="172" w:lineRule="exact"/>
        <w:rPr>
          <w:sz w:val="20"/>
          <w:szCs w:val="20"/>
          <w:color w:val="auto"/>
        </w:rPr>
      </w:pPr>
    </w:p>
    <w:p>
      <w:pPr>
        <w:ind w:left="1460" w:right="459" w:firstLine="335"/>
        <w:spacing w:after="0" w:line="267" w:lineRule="auto"/>
        <w:rPr>
          <w:sz w:val="20"/>
          <w:szCs w:val="20"/>
          <w:color w:val="auto"/>
        </w:rPr>
      </w:pPr>
      <w:r>
        <w:rPr>
          <w:rFonts w:ascii="Times New Roman" w:cs="Times New Roman" w:eastAsia="Times New Roman" w:hAnsi="Times New Roman"/>
          <w:sz w:val="14"/>
          <w:szCs w:val="14"/>
          <w:color w:val="auto"/>
        </w:rPr>
        <w:t>This prospectus supplement and accompanying prospectus relates to the possible resale by the selling stockholders from time to time of up to an aggregate of 6,032,604 shares of common stock.</w:t>
      </w:r>
    </w:p>
    <w:p>
      <w:pPr>
        <w:spacing w:after="0" w:line="135" w:lineRule="exact"/>
        <w:rPr>
          <w:sz w:val="20"/>
          <w:szCs w:val="20"/>
          <w:color w:val="auto"/>
        </w:rPr>
      </w:pPr>
    </w:p>
    <w:p>
      <w:pPr>
        <w:ind w:left="1460" w:right="319" w:firstLine="335"/>
        <w:spacing w:after="0" w:line="271" w:lineRule="auto"/>
        <w:rPr>
          <w:sz w:val="20"/>
          <w:szCs w:val="20"/>
          <w:color w:val="auto"/>
        </w:rPr>
      </w:pPr>
      <w:r>
        <w:rPr>
          <w:rFonts w:ascii="Times New Roman" w:cs="Times New Roman" w:eastAsia="Times New Roman" w:hAnsi="Times New Roman"/>
          <w:sz w:val="13"/>
          <w:szCs w:val="13"/>
          <w:color w:val="auto"/>
        </w:rPr>
        <w:t>On May 6, 2022, the Company entered into a Cooperation Agreement with Carl C. Icahn, a beneficial owner of more than 5% of the Company’s outstanding Common Stock, and the Icahn Group, as amended and restated on October 24, 2022, and as further amended and restated on November 21, 2023, October 15, 2024, October 14, 2025 (the “Cooperation Agreement”). In accordance with the terms of the Cooperation Agreement, we agreed, under certain conditions, to negotiate and enter into a registration rights agreement granting the Icahn Group certain customary registration rights with respect to certain shares of the Common Stock beneficially owned by the Icahn Group. In connection with the Cooperation Agreement, we and the Icahn Group entered into a registration rights agreement on November 26, 2025 (the “Registration Rights Agreement”), pursuant to which we agreed, under certain conditions, to grant the Icahn Group certain customary shelf, underwritten offering and piggy-back registration rights.</w:t>
      </w:r>
    </w:p>
    <w:p>
      <w:pPr>
        <w:spacing w:after="0" w:line="134" w:lineRule="exact"/>
        <w:rPr>
          <w:sz w:val="20"/>
          <w:szCs w:val="20"/>
          <w:color w:val="auto"/>
        </w:rPr>
      </w:pPr>
    </w:p>
    <w:p>
      <w:pPr>
        <w:ind w:left="1460" w:right="879" w:firstLine="335"/>
        <w:spacing w:after="0" w:line="267" w:lineRule="auto"/>
        <w:rPr>
          <w:sz w:val="20"/>
          <w:szCs w:val="20"/>
          <w:color w:val="auto"/>
        </w:rPr>
      </w:pPr>
      <w:r>
        <w:rPr>
          <w:rFonts w:ascii="Times New Roman" w:cs="Times New Roman" w:eastAsia="Times New Roman" w:hAnsi="Times New Roman"/>
          <w:sz w:val="14"/>
          <w:szCs w:val="14"/>
          <w:color w:val="auto"/>
        </w:rPr>
        <w:t>We are registering the resale of the shares of Common Stock covered by the Registration Rights Agreement in order to permit the selling stockholders to offer the shares of our Common Stock for resale from time to time.</w:t>
      </w:r>
    </w:p>
    <w:p>
      <w:pPr>
        <w:spacing w:after="0" w:line="135" w:lineRule="exact"/>
        <w:rPr>
          <w:sz w:val="20"/>
          <w:szCs w:val="20"/>
          <w:color w:val="auto"/>
        </w:rPr>
      </w:pPr>
    </w:p>
    <w:p>
      <w:pPr>
        <w:ind w:left="1460" w:right="359" w:firstLine="335"/>
        <w:spacing w:after="0" w:line="256" w:lineRule="auto"/>
        <w:rPr>
          <w:sz w:val="20"/>
          <w:szCs w:val="20"/>
          <w:color w:val="auto"/>
        </w:rPr>
      </w:pPr>
      <w:r>
        <w:rPr>
          <w:rFonts w:ascii="Times New Roman" w:cs="Times New Roman" w:eastAsia="Times New Roman" w:hAnsi="Times New Roman"/>
          <w:sz w:val="14"/>
          <w:szCs w:val="14"/>
          <w:color w:val="auto"/>
        </w:rPr>
        <w:t>Beneficial ownership is determined in accordance with the rules of the SEC and includes voting or investment power with respect to our Common Stock. Generally, a person “beneficially owns” shares of our Common Stock if the person has or shares with others the right to vote those shares or to dispose of them, or if the person has the right to acquire voting or disposition rights within 60 days.</w:t>
      </w:r>
    </w:p>
    <w:p>
      <w:pPr>
        <w:spacing w:after="0" w:line="143" w:lineRule="exact"/>
        <w:rPr>
          <w:sz w:val="20"/>
          <w:szCs w:val="20"/>
          <w:color w:val="auto"/>
        </w:rPr>
      </w:pPr>
    </w:p>
    <w:p>
      <w:pPr>
        <w:ind w:left="1460" w:right="399" w:firstLine="335"/>
        <w:spacing w:after="0" w:line="250" w:lineRule="auto"/>
        <w:rPr>
          <w:sz w:val="20"/>
          <w:szCs w:val="20"/>
          <w:color w:val="auto"/>
        </w:rPr>
      </w:pPr>
      <w:r>
        <w:rPr>
          <w:rFonts w:ascii="Times New Roman" w:cs="Times New Roman" w:eastAsia="Times New Roman" w:hAnsi="Times New Roman"/>
          <w:sz w:val="14"/>
          <w:szCs w:val="14"/>
          <w:color w:val="auto"/>
        </w:rPr>
        <w:t>The following table sets forth, based on written representations from the selling stockholders, certain information as of the date of this prospectus supplement regarding the beneficial ownership of our Common Stock by the selling stockholders and the shares of Common Stock being offered by the selling stockholders. The applicable percentage ownership of Common Stock is based on 72,183,903 shares of Common Stock outstanding as of November 21, 2025. Information with respect to shares of Common Stock beneficially owned after the offering assumes the sale of all of the shares of Common Stock held by the selling stockholders.</w:t>
      </w:r>
    </w:p>
    <w:p>
      <w:pPr>
        <w:sectPr>
          <w:pgSz w:w="11900" w:h="16838" w:orient="portrait"/>
          <w:cols w:equalWidth="0" w:num="1">
            <w:col w:w="10159"/>
          </w:cols>
          <w:pgMar w:left="300" w:top="380" w:right="1440" w:bottom="1440" w:gutter="0" w:footer="0" w:header="0"/>
        </w:sectPr>
      </w:pPr>
    </w:p>
    <w:p>
      <w:pPr>
        <w:spacing w:after="0" w:line="149" w:lineRule="exact"/>
        <w:rPr>
          <w:sz w:val="20"/>
          <w:szCs w:val="20"/>
          <w:color w:val="auto"/>
        </w:rPr>
      </w:pPr>
    </w:p>
    <w:tbl>
      <w:tblPr>
        <w:tblLayout w:type="fixed"/>
        <w:tblInd w:w="1460" w:type="dxa"/>
        <w:tblCellMar>
          <w:top w:w="0" w:type="dxa"/>
          <w:left w:w="0" w:type="dxa"/>
          <w:bottom w:w="0" w:type="dxa"/>
          <w:right w:w="0" w:type="dxa"/>
        </w:tblCellMar>
      </w:tblPr>
      <w:tr>
        <w:trPr>
          <w:trHeight w:val="126"/>
        </w:trPr>
        <w:tc>
          <w:tcPr>
            <w:tcW w:w="50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Maximum</w:t>
            </w:r>
          </w:p>
        </w:tc>
        <w:tc>
          <w:tcPr>
            <w:tcW w:w="0" w:type="dxa"/>
            <w:vAlign w:val="bottom"/>
          </w:tcPr>
          <w:p>
            <w:pPr>
              <w:spacing w:after="0"/>
              <w:rPr>
                <w:sz w:val="1"/>
                <w:szCs w:val="1"/>
                <w:color w:val="auto"/>
              </w:rPr>
            </w:pPr>
          </w:p>
        </w:tc>
      </w:tr>
      <w:tr>
        <w:trPr>
          <w:trHeight w:val="113"/>
        </w:trPr>
        <w:tc>
          <w:tcPr>
            <w:tcW w:w="50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620" w:type="dxa"/>
            <w:vAlign w:val="bottom"/>
          </w:tcPr>
          <w:p>
            <w:pPr>
              <w:jc w:val="center"/>
              <w:spacing w:after="0" w:line="113" w:lineRule="exact"/>
              <w:rPr>
                <w:sz w:val="20"/>
                <w:szCs w:val="20"/>
                <w:color w:val="auto"/>
              </w:rPr>
            </w:pPr>
            <w:r>
              <w:rPr>
                <w:rFonts w:ascii="Times New Roman" w:cs="Times New Roman" w:eastAsia="Times New Roman" w:hAnsi="Times New Roman"/>
                <w:sz w:val="11"/>
                <w:szCs w:val="11"/>
                <w:b w:val="1"/>
                <w:bCs w:val="1"/>
                <w:color w:val="auto"/>
                <w:w w:val="97"/>
              </w:rPr>
              <w:t>Number of</w:t>
            </w:r>
          </w:p>
        </w:tc>
        <w:tc>
          <w:tcPr>
            <w:tcW w:w="0" w:type="dxa"/>
            <w:vAlign w:val="bottom"/>
          </w:tcPr>
          <w:p>
            <w:pPr>
              <w:spacing w:after="0"/>
              <w:rPr>
                <w:sz w:val="1"/>
                <w:szCs w:val="1"/>
                <w:color w:val="auto"/>
              </w:rPr>
            </w:pPr>
          </w:p>
        </w:tc>
      </w:tr>
      <w:tr>
        <w:trPr>
          <w:trHeight w:val="113"/>
        </w:trPr>
        <w:tc>
          <w:tcPr>
            <w:tcW w:w="5020" w:type="dxa"/>
            <w:vAlign w:val="bottom"/>
          </w:tcPr>
          <w:p>
            <w:pPr>
              <w:spacing w:after="0"/>
              <w:rPr>
                <w:sz w:val="9"/>
                <w:szCs w:val="9"/>
                <w:color w:val="auto"/>
              </w:rPr>
            </w:pPr>
          </w:p>
        </w:tc>
        <w:tc>
          <w:tcPr>
            <w:tcW w:w="1340" w:type="dxa"/>
            <w:vAlign w:val="bottom"/>
            <w:gridSpan w:val="4"/>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Beneficial Ownership</w:t>
            </w:r>
          </w:p>
        </w:tc>
        <w:tc>
          <w:tcPr>
            <w:tcW w:w="620" w:type="dxa"/>
            <w:vAlign w:val="bottom"/>
          </w:tcPr>
          <w:p>
            <w:pPr>
              <w:jc w:val="center"/>
              <w:spacing w:after="0" w:line="113" w:lineRule="exact"/>
              <w:rPr>
                <w:sz w:val="20"/>
                <w:szCs w:val="20"/>
                <w:color w:val="auto"/>
              </w:rPr>
            </w:pPr>
            <w:r>
              <w:rPr>
                <w:rFonts w:ascii="Times New Roman" w:cs="Times New Roman" w:eastAsia="Times New Roman" w:hAnsi="Times New Roman"/>
                <w:sz w:val="11"/>
                <w:szCs w:val="11"/>
                <w:b w:val="1"/>
                <w:bCs w:val="1"/>
                <w:color w:val="auto"/>
              </w:rPr>
              <w:t>shares of</w:t>
            </w:r>
          </w:p>
        </w:tc>
        <w:tc>
          <w:tcPr>
            <w:tcW w:w="0" w:type="dxa"/>
            <w:vAlign w:val="bottom"/>
          </w:tcPr>
          <w:p>
            <w:pPr>
              <w:spacing w:after="0"/>
              <w:rPr>
                <w:sz w:val="1"/>
                <w:szCs w:val="1"/>
                <w:color w:val="auto"/>
              </w:rPr>
            </w:pPr>
          </w:p>
        </w:tc>
      </w:tr>
      <w:tr>
        <w:trPr>
          <w:trHeight w:val="51"/>
        </w:trPr>
        <w:tc>
          <w:tcPr>
            <w:tcW w:w="5020" w:type="dxa"/>
            <w:vAlign w:val="bottom"/>
          </w:tcPr>
          <w:p>
            <w:pPr>
              <w:spacing w:after="0"/>
              <w:rPr>
                <w:sz w:val="4"/>
                <w:szCs w:val="4"/>
                <w:color w:val="auto"/>
              </w:rPr>
            </w:pPr>
          </w:p>
        </w:tc>
        <w:tc>
          <w:tcPr>
            <w:tcW w:w="1340" w:type="dxa"/>
            <w:vAlign w:val="bottom"/>
            <w:gridSpan w:val="4"/>
            <w:vMerge w:val="continue"/>
          </w:tcPr>
          <w:p>
            <w:pPr>
              <w:spacing w:after="0"/>
              <w:rPr>
                <w:sz w:val="4"/>
                <w:szCs w:val="4"/>
                <w:color w:val="auto"/>
              </w:rPr>
            </w:pPr>
          </w:p>
        </w:tc>
        <w:tc>
          <w:tcPr>
            <w:tcW w:w="620" w:type="dxa"/>
            <w:vAlign w:val="bottom"/>
            <w:vMerge w:val="restart"/>
          </w:tcPr>
          <w:p>
            <w:pPr>
              <w:jc w:val="center"/>
              <w:spacing w:after="0" w:line="113" w:lineRule="exact"/>
              <w:rPr>
                <w:sz w:val="20"/>
                <w:szCs w:val="20"/>
                <w:color w:val="auto"/>
              </w:rPr>
            </w:pPr>
            <w:r>
              <w:rPr>
                <w:rFonts w:ascii="Times New Roman" w:cs="Times New Roman" w:eastAsia="Times New Roman" w:hAnsi="Times New Roman"/>
                <w:sz w:val="11"/>
                <w:szCs w:val="11"/>
                <w:b w:val="1"/>
                <w:bCs w:val="1"/>
                <w:color w:val="auto"/>
                <w:w w:val="96"/>
              </w:rPr>
              <w:t>Common</w:t>
            </w:r>
          </w:p>
        </w:tc>
        <w:tc>
          <w:tcPr>
            <w:tcW w:w="0" w:type="dxa"/>
            <w:vAlign w:val="bottom"/>
          </w:tcPr>
          <w:p>
            <w:pPr>
              <w:spacing w:after="0"/>
              <w:rPr>
                <w:sz w:val="1"/>
                <w:szCs w:val="1"/>
                <w:color w:val="auto"/>
              </w:rPr>
            </w:pPr>
          </w:p>
        </w:tc>
      </w:tr>
      <w:tr>
        <w:trPr>
          <w:trHeight w:val="62"/>
        </w:trPr>
        <w:tc>
          <w:tcPr>
            <w:tcW w:w="5020" w:type="dxa"/>
            <w:vAlign w:val="bottom"/>
          </w:tcPr>
          <w:p>
            <w:pPr>
              <w:spacing w:after="0"/>
              <w:rPr>
                <w:sz w:val="5"/>
                <w:szCs w:val="5"/>
                <w:color w:val="auto"/>
              </w:rPr>
            </w:pPr>
          </w:p>
        </w:tc>
        <w:tc>
          <w:tcPr>
            <w:tcW w:w="1340" w:type="dxa"/>
            <w:vAlign w:val="bottom"/>
            <w:gridSpan w:val="4"/>
            <w:vMerge w:val="restart"/>
          </w:tcPr>
          <w:p>
            <w:pPr>
              <w:ind w:left="100"/>
              <w:spacing w:after="0"/>
              <w:rPr>
                <w:sz w:val="20"/>
                <w:szCs w:val="20"/>
                <w:color w:val="auto"/>
              </w:rPr>
            </w:pPr>
            <w:r>
              <w:rPr>
                <w:rFonts w:ascii="Times New Roman" w:cs="Times New Roman" w:eastAsia="Times New Roman" w:hAnsi="Times New Roman"/>
                <w:sz w:val="11"/>
                <w:szCs w:val="11"/>
                <w:b w:val="1"/>
                <w:bCs w:val="1"/>
                <w:color w:val="auto"/>
              </w:rPr>
              <w:t>Before the Offering</w:t>
            </w:r>
          </w:p>
        </w:tc>
        <w:tc>
          <w:tcPr>
            <w:tcW w:w="6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1"/>
        </w:trPr>
        <w:tc>
          <w:tcPr>
            <w:tcW w:w="5020" w:type="dxa"/>
            <w:vAlign w:val="bottom"/>
          </w:tcPr>
          <w:p>
            <w:pPr>
              <w:spacing w:after="0"/>
              <w:rPr>
                <w:sz w:val="6"/>
                <w:szCs w:val="6"/>
                <w:color w:val="auto"/>
              </w:rPr>
            </w:pPr>
          </w:p>
        </w:tc>
        <w:tc>
          <w:tcPr>
            <w:tcW w:w="1340" w:type="dxa"/>
            <w:vAlign w:val="bottom"/>
            <w:gridSpan w:val="4"/>
            <w:vMerge w:val="continue"/>
          </w:tcPr>
          <w:p>
            <w:pPr>
              <w:spacing w:after="0"/>
              <w:rPr>
                <w:sz w:val="6"/>
                <w:szCs w:val="6"/>
                <w:color w:val="auto"/>
              </w:rPr>
            </w:pPr>
          </w:p>
        </w:tc>
        <w:tc>
          <w:tcPr>
            <w:tcW w:w="620" w:type="dxa"/>
            <w:vAlign w:val="bottom"/>
            <w:vMerge w:val="restart"/>
          </w:tcPr>
          <w:p>
            <w:pPr>
              <w:jc w:val="center"/>
              <w:spacing w:after="0" w:line="113" w:lineRule="exact"/>
              <w:rPr>
                <w:sz w:val="20"/>
                <w:szCs w:val="20"/>
                <w:color w:val="auto"/>
              </w:rPr>
            </w:pPr>
            <w:r>
              <w:rPr>
                <w:rFonts w:ascii="Times New Roman" w:cs="Times New Roman" w:eastAsia="Times New Roman" w:hAnsi="Times New Roman"/>
                <w:sz w:val="11"/>
                <w:szCs w:val="11"/>
                <w:b w:val="1"/>
                <w:bCs w:val="1"/>
                <w:color w:val="auto"/>
                <w:w w:val="96"/>
              </w:rPr>
              <w:t>Stock to be</w:t>
            </w:r>
          </w:p>
        </w:tc>
        <w:tc>
          <w:tcPr>
            <w:tcW w:w="0" w:type="dxa"/>
            <w:vAlign w:val="bottom"/>
          </w:tcPr>
          <w:p>
            <w:pPr>
              <w:spacing w:after="0"/>
              <w:rPr>
                <w:sz w:val="1"/>
                <w:szCs w:val="1"/>
                <w:color w:val="auto"/>
              </w:rPr>
            </w:pPr>
          </w:p>
        </w:tc>
      </w:tr>
      <w:tr>
        <w:trPr>
          <w:trHeight w:val="23"/>
        </w:trPr>
        <w:tc>
          <w:tcPr>
            <w:tcW w:w="5020" w:type="dxa"/>
            <w:vAlign w:val="bottom"/>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5020" w:type="dxa"/>
            <w:vAlign w:val="bottom"/>
          </w:tcPr>
          <w:p>
            <w:pPr>
              <w:spacing w:after="0"/>
              <w:rPr>
                <w:sz w:val="9"/>
                <w:szCs w:val="9"/>
                <w:color w:val="auto"/>
              </w:rPr>
            </w:pPr>
          </w:p>
        </w:tc>
        <w:tc>
          <w:tcPr>
            <w:tcW w:w="640" w:type="dxa"/>
            <w:vAlign w:val="bottom"/>
            <w:vMerge w:val="restart"/>
          </w:tcPr>
          <w:p>
            <w:pPr>
              <w:ind w:left="14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00" w:type="dxa"/>
            <w:vAlign w:val="bottom"/>
          </w:tcPr>
          <w:p>
            <w:pPr>
              <w:spacing w:after="0"/>
              <w:rPr>
                <w:sz w:val="9"/>
                <w:szCs w:val="9"/>
                <w:color w:val="auto"/>
              </w:rPr>
            </w:pPr>
          </w:p>
        </w:tc>
        <w:tc>
          <w:tcPr>
            <w:tcW w:w="36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w w:val="94"/>
              </w:rPr>
              <w:t>Percent</w:t>
            </w:r>
          </w:p>
        </w:tc>
        <w:tc>
          <w:tcPr>
            <w:tcW w:w="240" w:type="dxa"/>
            <w:vAlign w:val="bottom"/>
            <w:vMerge w:val="restart"/>
          </w:tcPr>
          <w:p>
            <w:pPr>
              <w:spacing w:after="0"/>
              <w:rPr>
                <w:sz w:val="9"/>
                <w:szCs w:val="9"/>
                <w:color w:val="auto"/>
              </w:rPr>
            </w:pPr>
          </w:p>
        </w:tc>
        <w:tc>
          <w:tcPr>
            <w:tcW w:w="620" w:type="dxa"/>
            <w:vAlign w:val="bottom"/>
          </w:tcPr>
          <w:p>
            <w:pPr>
              <w:jc w:val="center"/>
              <w:spacing w:after="0" w:line="113" w:lineRule="exact"/>
              <w:rPr>
                <w:sz w:val="20"/>
                <w:szCs w:val="20"/>
                <w:color w:val="auto"/>
              </w:rPr>
            </w:pPr>
            <w:r>
              <w:rPr>
                <w:rFonts w:ascii="Times New Roman" w:cs="Times New Roman" w:eastAsia="Times New Roman" w:hAnsi="Times New Roman"/>
                <w:sz w:val="11"/>
                <w:szCs w:val="11"/>
                <w:b w:val="1"/>
                <w:bCs w:val="1"/>
                <w:color w:val="auto"/>
                <w:w w:val="99"/>
              </w:rPr>
              <w:t>Sold in the</w:t>
            </w:r>
          </w:p>
        </w:tc>
        <w:tc>
          <w:tcPr>
            <w:tcW w:w="0" w:type="dxa"/>
            <w:vAlign w:val="bottom"/>
          </w:tcPr>
          <w:p>
            <w:pPr>
              <w:spacing w:after="0"/>
              <w:rPr>
                <w:sz w:val="1"/>
                <w:szCs w:val="1"/>
                <w:color w:val="auto"/>
              </w:rPr>
            </w:pPr>
          </w:p>
        </w:tc>
      </w:tr>
      <w:tr>
        <w:trPr>
          <w:trHeight w:val="132"/>
        </w:trPr>
        <w:tc>
          <w:tcPr>
            <w:tcW w:w="50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Icahn Partners Master Fund LP</w:t>
            </w:r>
            <w:r>
              <w:rPr>
                <w:rFonts w:ascii="Times New Roman" w:cs="Times New Roman" w:eastAsia="Times New Roman" w:hAnsi="Times New Roman"/>
                <w:sz w:val="20"/>
                <w:szCs w:val="20"/>
                <w:color w:val="auto"/>
                <w:vertAlign w:val="superscript"/>
              </w:rPr>
              <w:t>(1)</w:t>
            </w:r>
          </w:p>
        </w:tc>
        <w:tc>
          <w:tcPr>
            <w:tcW w:w="64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Borders>
              <w:bottom w:val="single" w:sz="8" w:color="auto"/>
            </w:tcBorders>
            <w:vMerge w:val="continue"/>
          </w:tcPr>
          <w:p>
            <w:pPr>
              <w:spacing w:after="0"/>
              <w:rPr>
                <w:sz w:val="11"/>
                <w:szCs w:val="11"/>
                <w:color w:val="auto"/>
              </w:rPr>
            </w:pPr>
          </w:p>
        </w:tc>
        <w:tc>
          <w:tcPr>
            <w:tcW w:w="240" w:type="dxa"/>
            <w:vAlign w:val="bottom"/>
            <w:vMerge w:val="continue"/>
          </w:tcPr>
          <w:p>
            <w:pPr>
              <w:spacing w:after="0"/>
              <w:rPr>
                <w:sz w:val="11"/>
                <w:szCs w:val="11"/>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Offering</w:t>
            </w:r>
          </w:p>
        </w:tc>
        <w:tc>
          <w:tcPr>
            <w:tcW w:w="0" w:type="dxa"/>
            <w:vAlign w:val="bottom"/>
          </w:tcPr>
          <w:p>
            <w:pPr>
              <w:spacing w:after="0"/>
              <w:rPr>
                <w:sz w:val="1"/>
                <w:szCs w:val="1"/>
                <w:color w:val="auto"/>
              </w:rPr>
            </w:pPr>
          </w:p>
        </w:tc>
      </w:tr>
      <w:tr>
        <w:trPr>
          <w:trHeight w:val="155"/>
        </w:trPr>
        <w:tc>
          <w:tcPr>
            <w:tcW w:w="5020" w:type="dxa"/>
            <w:vAlign w:val="bottom"/>
            <w:vMerge w:val="continue"/>
          </w:tcPr>
          <w:p>
            <w:pPr>
              <w:spacing w:after="0"/>
              <w:rPr>
                <w:sz w:val="13"/>
                <w:szCs w:val="13"/>
                <w:color w:val="auto"/>
              </w:rPr>
            </w:pPr>
          </w:p>
        </w:tc>
        <w:tc>
          <w:tcPr>
            <w:tcW w:w="640" w:type="dxa"/>
            <w:vAlign w:val="bottom"/>
          </w:tcPr>
          <w:p>
            <w:pPr>
              <w:ind w:left="60"/>
              <w:spacing w:after="0" w:line="155" w:lineRule="exact"/>
              <w:rPr>
                <w:sz w:val="20"/>
                <w:szCs w:val="20"/>
                <w:color w:val="auto"/>
              </w:rPr>
            </w:pPr>
            <w:r>
              <w:rPr>
                <w:rFonts w:ascii="Times New Roman" w:cs="Times New Roman" w:eastAsia="Times New Roman" w:hAnsi="Times New Roman"/>
                <w:sz w:val="14"/>
                <w:szCs w:val="14"/>
                <w:color w:val="auto"/>
                <w:w w:val="96"/>
              </w:rPr>
              <w:t>2,613,437</w:t>
            </w:r>
          </w:p>
        </w:tc>
        <w:tc>
          <w:tcPr>
            <w:tcW w:w="100" w:type="dxa"/>
            <w:vAlign w:val="bottom"/>
          </w:tcPr>
          <w:p>
            <w:pPr>
              <w:spacing w:after="0"/>
              <w:rPr>
                <w:sz w:val="13"/>
                <w:szCs w:val="13"/>
                <w:color w:val="auto"/>
              </w:rPr>
            </w:pPr>
          </w:p>
        </w:tc>
        <w:tc>
          <w:tcPr>
            <w:tcW w:w="600" w:type="dxa"/>
            <w:vAlign w:val="bottom"/>
            <w:gridSpan w:val="2"/>
          </w:tcPr>
          <w:p>
            <w:pPr>
              <w:jc w:val="right"/>
              <w:ind w:right="120"/>
              <w:spacing w:after="0" w:line="155" w:lineRule="exact"/>
              <w:rPr>
                <w:sz w:val="20"/>
                <w:szCs w:val="20"/>
                <w:color w:val="auto"/>
              </w:rPr>
            </w:pPr>
            <w:r>
              <w:rPr>
                <w:rFonts w:ascii="Times New Roman" w:cs="Times New Roman" w:eastAsia="Times New Roman" w:hAnsi="Times New Roman"/>
                <w:sz w:val="14"/>
                <w:szCs w:val="14"/>
                <w:color w:val="auto"/>
              </w:rPr>
              <w:t>3.6%</w:t>
            </w:r>
          </w:p>
        </w:tc>
        <w:tc>
          <w:tcPr>
            <w:tcW w:w="6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2,613,437</w:t>
            </w:r>
          </w:p>
        </w:tc>
        <w:tc>
          <w:tcPr>
            <w:tcW w:w="0" w:type="dxa"/>
            <w:vAlign w:val="bottom"/>
          </w:tcPr>
          <w:p>
            <w:pPr>
              <w:spacing w:after="0"/>
              <w:rPr>
                <w:sz w:val="1"/>
                <w:szCs w:val="1"/>
                <w:color w:val="auto"/>
              </w:rPr>
            </w:pPr>
          </w:p>
        </w:tc>
      </w:tr>
      <w:tr>
        <w:trPr>
          <w:trHeight w:val="20"/>
        </w:trPr>
        <w:tc>
          <w:tcPr>
            <w:tcW w:w="50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Icahn Partners LP</w:t>
            </w:r>
            <w:r>
              <w:rPr>
                <w:rFonts w:ascii="Times New Roman" w:cs="Times New Roman" w:eastAsia="Times New Roman" w:hAnsi="Times New Roman"/>
                <w:sz w:val="20"/>
                <w:szCs w:val="20"/>
                <w:color w:val="auto"/>
                <w:vertAlign w:val="superscript"/>
              </w:rPr>
              <w:t>(1)</w:t>
            </w: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0"/>
        </w:trPr>
        <w:tc>
          <w:tcPr>
            <w:tcW w:w="5020" w:type="dxa"/>
            <w:vAlign w:val="bottom"/>
            <w:vMerge w:val="continue"/>
          </w:tcPr>
          <w:p>
            <w:pPr>
              <w:spacing w:after="0"/>
              <w:rPr>
                <w:sz w:val="22"/>
                <w:szCs w:val="22"/>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96"/>
              </w:rPr>
              <w:t>3,419,167</w:t>
            </w:r>
          </w:p>
        </w:tc>
        <w:tc>
          <w:tcPr>
            <w:tcW w:w="100" w:type="dxa"/>
            <w:vAlign w:val="bottom"/>
            <w:vMerge w:val="continue"/>
          </w:tcPr>
          <w:p>
            <w:pPr>
              <w:spacing w:after="0"/>
              <w:rPr>
                <w:sz w:val="22"/>
                <w:szCs w:val="22"/>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4.7%</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3,419,167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921385</wp:posOffset>
            </wp:positionH>
            <wp:positionV relativeFrom="paragraph">
              <wp:posOffset>-288290</wp:posOffset>
            </wp:positionV>
            <wp:extent cx="5325110" cy="1111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8">
                      <a:extLst>
                        <a:ext uri="{28A0092B-C50C-407E-A947-70E740481C1C}"/>
                      </a:extLst>
                    </a:blip>
                    <a:srcRect/>
                    <a:stretch>
                      <a:fillRect/>
                    </a:stretch>
                  </pic:blipFill>
                  <pic:spPr bwMode="auto">
                    <a:xfrm>
                      <a:off x="0" y="0"/>
                      <a:ext cx="5325110" cy="111125"/>
                    </a:xfrm>
                    <a:prstGeom prst="rect">
                      <a:avLst/>
                    </a:prstGeom>
                    <a:noFill/>
                  </pic:spPr>
                </pic:pic>
              </a:graphicData>
            </a:graphic>
          </wp:anchor>
        </w:drawing>
        <w:drawing>
          <wp:anchor simplePos="0" relativeHeight="251657728" behindDoc="1" locked="0" layoutInCell="0" allowOverlap="1">
            <wp:simplePos x="0" y="0"/>
            <wp:positionH relativeFrom="column">
              <wp:posOffset>921385</wp:posOffset>
            </wp:positionH>
            <wp:positionV relativeFrom="paragraph">
              <wp:posOffset>4445</wp:posOffset>
            </wp:positionV>
            <wp:extent cx="587375" cy="63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9">
                      <a:extLst>
                        <a:ext uri="{28A0092B-C50C-407E-A947-70E740481C1C}"/>
                      </a:extLst>
                    </a:blip>
                    <a:srcRect/>
                    <a:stretch>
                      <a:fillRect/>
                    </a:stretch>
                  </pic:blipFill>
                  <pic:spPr bwMode="auto">
                    <a:xfrm>
                      <a:off x="0" y="0"/>
                      <a:ext cx="587375" cy="6350"/>
                    </a:xfrm>
                    <a:prstGeom prst="rect">
                      <a:avLst/>
                    </a:prstGeom>
                    <a:noFill/>
                  </pic:spPr>
                </pic:pic>
              </a:graphicData>
            </a:graphic>
          </wp:anchor>
        </w:drawing>
      </w:r>
    </w:p>
    <w:p>
      <w:pPr>
        <w:spacing w:after="0" w:line="16" w:lineRule="exact"/>
        <w:rPr>
          <w:sz w:val="20"/>
          <w:szCs w:val="20"/>
          <w:color w:val="auto"/>
        </w:rPr>
      </w:pPr>
    </w:p>
    <w:p>
      <w:pPr>
        <w:ind w:left="1780" w:hanging="329"/>
        <w:spacing w:after="0"/>
        <w:tabs>
          <w:tab w:leader="none" w:pos="178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principal business address of the Icahn Group is 16690 Collins Ave, Penthouse Suite, Sunny Isles Beach, FL 33160.</w:t>
      </w:r>
    </w:p>
    <w:p>
      <w:pPr>
        <w:spacing w:after="0" w:line="258"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color w:val="auto"/>
        </w:rPr>
        <w:t>Material Relationships with the Selling Stockholders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0"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1"/>
          <w:szCs w:val="11"/>
          <w:b w:val="1"/>
          <w:bCs w:val="1"/>
          <w:color w:val="auto"/>
        </w:rPr>
        <w:t>Beneficial Ownership</w:t>
      </w:r>
    </w:p>
    <w:p>
      <w:pPr>
        <w:spacing w:after="0" w:line="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1"/>
          <w:szCs w:val="11"/>
          <w:b w:val="1"/>
          <w:bCs w:val="1"/>
          <w:color w:val="auto"/>
        </w:rPr>
        <w:t>After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wp:posOffset>
            </wp:positionH>
            <wp:positionV relativeFrom="paragraph">
              <wp:posOffset>-4445</wp:posOffset>
            </wp:positionV>
            <wp:extent cx="776605" cy="63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0">
                      <a:extLst>
                        <a:ext uri="{28A0092B-C50C-407E-A947-70E740481C1C}"/>
                      </a:extLst>
                    </a:blip>
                    <a:srcRect/>
                    <a:stretch>
                      <a:fillRect/>
                    </a:stretch>
                  </pic:blipFill>
                  <pic:spPr bwMode="auto">
                    <a:xfrm>
                      <a:off x="0" y="0"/>
                      <a:ext cx="776605" cy="6350"/>
                    </a:xfrm>
                    <a:prstGeom prst="rect">
                      <a:avLst/>
                    </a:prstGeom>
                    <a:noFill/>
                  </pic:spPr>
                </pic:pic>
              </a:graphicData>
            </a:graphic>
          </wp:anchor>
        </w:drawing>
      </w:r>
    </w:p>
    <w:p>
      <w:pPr>
        <w:spacing w:after="0" w:line="127" w:lineRule="exact"/>
        <w:rPr>
          <w:sz w:val="20"/>
          <w:szCs w:val="20"/>
          <w:color w:val="auto"/>
        </w:rPr>
      </w:pPr>
    </w:p>
    <w:p>
      <w:pPr>
        <w:ind w:left="60"/>
        <w:spacing w:after="0"/>
        <w:tabs>
          <w:tab w:leader="none" w:pos="680" w:val="left"/>
        </w:tabs>
        <w:rPr>
          <w:sz w:val="20"/>
          <w:szCs w:val="20"/>
          <w:color w:val="auto"/>
        </w:rPr>
      </w:pPr>
      <w:r>
        <w:rPr>
          <w:rFonts w:ascii="Times New Roman" w:cs="Times New Roman" w:eastAsia="Times New Roman" w:hAnsi="Times New Roman"/>
          <w:sz w:val="11"/>
          <w:szCs w:val="11"/>
          <w:b w:val="1"/>
          <w:bCs w:val="1"/>
          <w:color w:val="auto"/>
        </w:rPr>
        <w:t>Shares</w:t>
      </w:r>
      <w:r>
        <w:rPr>
          <w:sz w:val="20"/>
          <w:szCs w:val="20"/>
          <w:color w:val="auto"/>
        </w:rPr>
        <w:tab/>
      </w:r>
      <w:r>
        <w:rPr>
          <w:rFonts w:ascii="Times New Roman" w:cs="Times New Roman" w:eastAsia="Times New Roman" w:hAnsi="Times New Roman"/>
          <w:sz w:val="11"/>
          <w:szCs w:val="11"/>
          <w:b w:val="1"/>
          <w:bCs w:val="1"/>
          <w:color w:val="auto"/>
        </w:rPr>
        <w:t>Percent</w:t>
      </w:r>
    </w:p>
    <w:p>
      <w:pPr>
        <w:spacing w:after="0" w:line="17"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4"/>
          <w:szCs w:val="14"/>
          <w:color w:val="auto"/>
        </w:rPr>
        <w:t>      — </w:t>
      </w:r>
      <w:r>
        <w:rPr>
          <w:sz w:val="20"/>
          <w:szCs w:val="20"/>
          <w:color w:val="auto"/>
        </w:rPr>
        <w:tab/>
      </w:r>
      <w:r>
        <w:rPr>
          <w:rFonts w:ascii="Times New Roman" w:cs="Times New Roman" w:eastAsia="Times New Roman" w:hAnsi="Times New Roman"/>
          <w:sz w:val="11"/>
          <w:szCs w:val="11"/>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wp:posOffset>
            </wp:positionH>
            <wp:positionV relativeFrom="paragraph">
              <wp:posOffset>1270</wp:posOffset>
            </wp:positionV>
            <wp:extent cx="776605" cy="63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1">
                      <a:extLst>
                        <a:ext uri="{28A0092B-C50C-407E-A947-70E740481C1C}"/>
                      </a:extLst>
                    </a:blip>
                    <a:srcRect/>
                    <a:stretch>
                      <a:fillRect/>
                    </a:stretch>
                  </pic:blipFill>
                  <pic:spPr bwMode="auto">
                    <a:xfrm>
                      <a:off x="0" y="0"/>
                      <a:ext cx="776605" cy="6350"/>
                    </a:xfrm>
                    <a:prstGeom prst="rect">
                      <a:avLst/>
                    </a:prstGeom>
                    <a:noFill/>
                  </pic:spPr>
                </pic:pic>
              </a:graphicData>
            </a:graphic>
          </wp:anchor>
        </w:drawing>
      </w:r>
    </w:p>
    <w:p>
      <w:pPr>
        <w:ind w:left="280"/>
        <w:spacing w:after="0"/>
        <w:tabs>
          <w:tab w:leader="none" w:pos="940" w:val="left"/>
        </w:tabs>
        <w:rPr>
          <w:sz w:val="20"/>
          <w:szCs w:val="20"/>
          <w:color w:val="auto"/>
        </w:rPr>
      </w:pPr>
      <w:r>
        <w:rPr>
          <w:rFonts w:ascii="Times New Roman" w:cs="Times New Roman" w:eastAsia="Times New Roman" w:hAnsi="Times New Roman"/>
          <w:sz w:val="11"/>
          <w:szCs w:val="11"/>
          <w:color w:val="auto"/>
        </w:rPr>
        <w:t>— </w:t>
      </w:r>
      <w:r>
        <w:rPr>
          <w:sz w:val="20"/>
          <w:szCs w:val="20"/>
          <w:color w:val="auto"/>
        </w:rPr>
        <w:tab/>
      </w:r>
      <w:r>
        <w:rPr>
          <w:rFonts w:ascii="Times New Roman" w:cs="Times New Roman" w:eastAsia="Times New Roman" w:hAnsi="Times New Roman"/>
          <w:sz w:val="11"/>
          <w:szCs w:val="11"/>
          <w:color w:val="auto"/>
        </w:rPr>
        <w:t>— </w:t>
      </w:r>
    </w:p>
    <w:p>
      <w:pPr>
        <w:spacing w:after="0" w:line="839" w:lineRule="exact"/>
        <w:rPr>
          <w:sz w:val="20"/>
          <w:szCs w:val="20"/>
          <w:color w:val="auto"/>
        </w:rPr>
      </w:pPr>
    </w:p>
    <w:p>
      <w:pPr>
        <w:sectPr>
          <w:pgSz w:w="11900" w:h="16838" w:orient="portrait"/>
          <w:cols w:equalWidth="0" w:num="2">
            <w:col w:w="8440" w:space="180"/>
            <w:col w:w="1539"/>
          </w:cols>
          <w:pgMar w:left="300" w:top="380" w:right="1440" w:bottom="1440" w:gutter="0" w:footer="0" w:header="0"/>
          <w:type w:val="continuous"/>
        </w:sectPr>
      </w:pPr>
    </w:p>
    <w:p>
      <w:pPr>
        <w:ind w:left="1780"/>
        <w:spacing w:after="0"/>
        <w:rPr>
          <w:sz w:val="20"/>
          <w:szCs w:val="20"/>
          <w:color w:val="auto"/>
        </w:rPr>
      </w:pPr>
      <w:r>
        <w:rPr>
          <w:rFonts w:ascii="Times New Roman" w:cs="Times New Roman" w:eastAsia="Times New Roman" w:hAnsi="Times New Roman"/>
          <w:sz w:val="13"/>
          <w:szCs w:val="13"/>
          <w:color w:val="auto"/>
        </w:rPr>
        <w:t>As of the date of this prospectus supplement, the selling stockholders collectively own approximately 8.4% of our outstanding Common Stock.</w:t>
      </w:r>
    </w:p>
    <w:p>
      <w:pPr>
        <w:spacing w:after="0" w:line="27"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color w:val="auto"/>
        </w:rPr>
        <w:t>Upon completion of this offering, the selling stockholders will no longer own any shares of our Common Stock.</w:t>
      </w:r>
    </w:p>
    <w:p>
      <w:pPr>
        <w:spacing w:after="0" w:line="156" w:lineRule="exact"/>
        <w:rPr>
          <w:sz w:val="20"/>
          <w:szCs w:val="20"/>
          <w:color w:val="auto"/>
        </w:rPr>
      </w:pPr>
    </w:p>
    <w:p>
      <w:pPr>
        <w:ind w:left="1460" w:right="519" w:firstLine="335"/>
        <w:spacing w:after="0" w:line="256" w:lineRule="auto"/>
        <w:rPr>
          <w:sz w:val="20"/>
          <w:szCs w:val="20"/>
          <w:color w:val="auto"/>
        </w:rPr>
      </w:pPr>
      <w:r>
        <w:rPr>
          <w:rFonts w:ascii="Times New Roman" w:cs="Times New Roman" w:eastAsia="Times New Roman" w:hAnsi="Times New Roman"/>
          <w:sz w:val="14"/>
          <w:szCs w:val="14"/>
          <w:color w:val="auto"/>
        </w:rPr>
        <w:t>As described above, we are party to the Cooperation Agreement with the Icahn Group. In accordance with the terms of the Cooperation Agreement, the Company agreed with the Icahn Group, among other things, to nominate Andrew W. Evans, Henry P. Linginfelter, Ruby Sharma, and Andrew J. Teno (each, an “Icahn</w:t>
      </w:r>
    </w:p>
    <w:p>
      <w:pPr>
        <w:spacing w:after="0" w:line="91"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S-10</w:t>
      </w:r>
    </w:p>
    <w:p>
      <w:pPr>
        <w:sectPr>
          <w:pgSz w:w="11900" w:h="16838" w:orient="portrait"/>
          <w:cols w:equalWidth="0" w:num="1">
            <w:col w:w="10159"/>
          </w:cols>
          <w:pgMar w:left="300" w:top="380" w:right="1440"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2">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44" w:lineRule="exact"/>
        <w:rPr>
          <w:sz w:val="20"/>
          <w:szCs w:val="20"/>
          <w:color w:val="auto"/>
        </w:rPr>
      </w:pPr>
    </w:p>
    <w:p>
      <w:pPr>
        <w:ind w:left="1460" w:right="339"/>
        <w:spacing w:after="0" w:line="247" w:lineRule="auto"/>
        <w:rPr>
          <w:sz w:val="20"/>
          <w:szCs w:val="20"/>
          <w:color w:val="auto"/>
        </w:rPr>
      </w:pPr>
      <w:r>
        <w:rPr>
          <w:rFonts w:ascii="Times New Roman" w:cs="Times New Roman" w:eastAsia="Times New Roman" w:hAnsi="Times New Roman"/>
          <w:sz w:val="14"/>
          <w:szCs w:val="14"/>
          <w:color w:val="auto"/>
        </w:rPr>
        <w:t>Designee” and, collectively, the “Icahn Designees”) for election at the 2026 Annual Meeting of Stockholders. In addition, subject to qualifications set forth in the Cooperation Agreement, the Cooperation Agreement provides the standstill restrictions on the Icahn Group will remain in effect until, and the Cooperation Agreement will terminate upon, the later of (x) the conclusion of the Annual Meeting and (y) the earlier of (1) immediately following the time at which Mr. Teno (or any Replacement Designee for Mr. Teno, as such term is defined in the Cooperation Agreement) is no longer serving on the Board and (2) thirty (30) days prior to the expiration of the advance notice deadline for the submission of director nominees in connection with the 2027 Annual Meeting of Stockholders; provided, however, that the Cooperation Agreement will terminate automatically on the date on which the Board re-appoints as a director any former director of the Board (i.e., any person who was a director of the Board prior to the 2022 Annual Meeting of Stockholders, but was not a director of the Board immediately after the 2022 Annual Meeting of Stockholders), without the approval of a majority of the Icahn Designees.</w:t>
      </w:r>
    </w:p>
    <w:p>
      <w:pPr>
        <w:spacing w:after="0" w:line="153" w:lineRule="exact"/>
        <w:rPr>
          <w:sz w:val="20"/>
          <w:szCs w:val="20"/>
          <w:color w:val="auto"/>
        </w:rPr>
      </w:pPr>
    </w:p>
    <w:p>
      <w:pPr>
        <w:ind w:left="1460" w:right="339" w:firstLine="335"/>
        <w:spacing w:after="0" w:line="250" w:lineRule="auto"/>
        <w:rPr>
          <w:sz w:val="20"/>
          <w:szCs w:val="20"/>
          <w:color w:val="auto"/>
        </w:rPr>
      </w:pPr>
      <w:r>
        <w:rPr>
          <w:rFonts w:ascii="Times New Roman" w:cs="Times New Roman" w:eastAsia="Times New Roman" w:hAnsi="Times New Roman"/>
          <w:sz w:val="14"/>
          <w:szCs w:val="14"/>
          <w:color w:val="auto"/>
        </w:rPr>
        <w:t>On November 26, 2025, we entered into the Registration Rights Agreement pursuant to which we agreed, under certain conditions, to grant the Icahn Group certain customary shelf, underwritten offering and piggy-back registration rights. In addition, we have agreed to bear certain costs, fees and expenses incurred in connection with the offering of Common Stock pursuant to this prospectus supplement. However, we do not have any obligation to pay any underwriting fees, discounts or commissions attributable to the sale of such shares of Common Stock, or any fees and expenses of any broker-dealer or other financial intermediary engaged by the selling stockholders.</w:t>
      </w:r>
    </w:p>
    <w:p>
      <w:pPr>
        <w:spacing w:after="0" w:line="148" w:lineRule="exact"/>
        <w:rPr>
          <w:sz w:val="20"/>
          <w:szCs w:val="20"/>
          <w:color w:val="auto"/>
        </w:rPr>
      </w:pPr>
    </w:p>
    <w:p>
      <w:pPr>
        <w:ind w:left="1460" w:right="879" w:firstLine="335"/>
        <w:spacing w:after="0" w:line="267" w:lineRule="auto"/>
        <w:rPr>
          <w:sz w:val="20"/>
          <w:szCs w:val="20"/>
          <w:color w:val="auto"/>
        </w:rPr>
      </w:pPr>
      <w:r>
        <w:rPr>
          <w:rFonts w:ascii="Times New Roman" w:cs="Times New Roman" w:eastAsia="Times New Roman" w:hAnsi="Times New Roman"/>
          <w:sz w:val="14"/>
          <w:szCs w:val="14"/>
          <w:color w:val="auto"/>
        </w:rPr>
        <w:t>For additional information on agreements between the Company and the Icahn Group, please refer to the descriptions of the Cooperation Agreement and Registration Rights Agreement in our public filings with the SEC, which are incorporated herein by reference.</w:t>
      </w:r>
    </w:p>
    <w:p>
      <w:pPr>
        <w:spacing w:after="0" w:line="8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S-11</w:t>
      </w:r>
    </w:p>
    <w:p>
      <w:pPr>
        <w:sectPr>
          <w:pgSz w:w="11900" w:h="16838" w:orient="portrait"/>
          <w:cols w:equalWidth="0" w:num="1">
            <w:col w:w="10159"/>
          </w:cols>
          <w:pgMar w:left="300" w:top="380" w:right="1440"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3">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40"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3"/>
          <w:szCs w:val="13"/>
          <w:b w:val="1"/>
          <w:bCs w:val="1"/>
          <w:color w:val="auto"/>
        </w:rPr>
        <w:t>MATERIAL UNITED STATES FEDERAL INCOME TAX CONSEQUENCES TO NON-U.S. HOLDERS OF OUR COMMON STOCK</w:t>
      </w:r>
    </w:p>
    <w:p>
      <w:pPr>
        <w:spacing w:after="0" w:line="183" w:lineRule="exact"/>
        <w:rPr>
          <w:sz w:val="20"/>
          <w:szCs w:val="20"/>
          <w:color w:val="auto"/>
        </w:rPr>
      </w:pPr>
    </w:p>
    <w:p>
      <w:pPr>
        <w:ind w:left="1460" w:right="419" w:firstLine="335"/>
        <w:spacing w:after="0" w:line="274" w:lineRule="auto"/>
        <w:rPr>
          <w:sz w:val="20"/>
          <w:szCs w:val="20"/>
          <w:color w:val="auto"/>
        </w:rPr>
      </w:pPr>
      <w:r>
        <w:rPr>
          <w:rFonts w:ascii="Times New Roman" w:cs="Times New Roman" w:eastAsia="Times New Roman" w:hAnsi="Times New Roman"/>
          <w:sz w:val="13"/>
          <w:szCs w:val="13"/>
          <w:color w:val="auto"/>
        </w:rPr>
        <w:t>The following is a summary of the material U.S. federal income tax consequences applicable to non-U.S. holders (as defined below) with respect to the ownership and disposition of shares of our Common Stock. This summary is limited to non-U.S. holders who purchase shares of our Common Stock pursuant to this offering and who hold such shares of our Common Stock as capital assets (within the meaning of Section 1221 of the Internal Revenue Code of 1986, as amended (the “Code”)). This summary is based on current provisions of the Code, final, temporary or proposed Treasury regulations promulgated thereunder, administrative rulings and judicial opinions, all of which are subject to change, possibly with retroactive effect.</w:t>
      </w:r>
    </w:p>
    <w:p>
      <w:pPr>
        <w:spacing w:after="0" w:line="133" w:lineRule="exact"/>
        <w:rPr>
          <w:sz w:val="20"/>
          <w:szCs w:val="20"/>
          <w:color w:val="auto"/>
        </w:rPr>
      </w:pPr>
    </w:p>
    <w:p>
      <w:pPr>
        <w:ind w:left="1460" w:right="319" w:firstLine="335"/>
        <w:spacing w:after="0" w:line="250" w:lineRule="auto"/>
        <w:rPr>
          <w:sz w:val="20"/>
          <w:szCs w:val="20"/>
          <w:color w:val="auto"/>
        </w:rPr>
      </w:pPr>
      <w:r>
        <w:rPr>
          <w:rFonts w:ascii="Times New Roman" w:cs="Times New Roman" w:eastAsia="Times New Roman" w:hAnsi="Times New Roman"/>
          <w:sz w:val="14"/>
          <w:szCs w:val="14"/>
          <w:color w:val="auto"/>
        </w:rPr>
        <w:t>This discussion does not address all aspects of U.S. federal income taxation that may be important to a particular non-U.S. holder in light of that non-U.S. holder’s specific circumstances, nor does it address the potential application of the Medicare contribution tax, any aspects of U.S. federal estate or gift tax laws, or tax considerations arising under the laws of any non-U.S., state or local jurisdiction. This discussion also does not address tax considerations applicable to a non-U.S. holder that may be subject to special treatment under the U.S. federal income tax laws, including, without limitation:</w:t>
      </w:r>
    </w:p>
    <w:p>
      <w:pPr>
        <w:spacing w:after="0" w:line="76" w:lineRule="exact"/>
        <w:rPr>
          <w:sz w:val="20"/>
          <w:szCs w:val="20"/>
          <w:color w:val="auto"/>
        </w:rPr>
      </w:pPr>
    </w:p>
    <w:p>
      <w:pPr>
        <w:ind w:left="2200" w:hanging="338"/>
        <w:spacing w:after="0"/>
        <w:tabs>
          <w:tab w:leader="none" w:pos="22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U.S. expatriates and former citizens or long-term residents of the United States;</w:t>
      </w:r>
    </w:p>
    <w:p>
      <w:pPr>
        <w:spacing w:after="0" w:line="95" w:lineRule="exact"/>
        <w:rPr>
          <w:rFonts w:ascii="Times New Roman" w:cs="Times New Roman" w:eastAsia="Times New Roman" w:hAnsi="Times New Roman"/>
          <w:sz w:val="14"/>
          <w:szCs w:val="14"/>
          <w:color w:val="auto"/>
        </w:rPr>
      </w:pPr>
    </w:p>
    <w:p>
      <w:pPr>
        <w:ind w:left="2200" w:hanging="338"/>
        <w:spacing w:after="0"/>
        <w:tabs>
          <w:tab w:leader="none" w:pos="22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persons subject to the alternative minimum tax;</w:t>
      </w:r>
    </w:p>
    <w:p>
      <w:pPr>
        <w:spacing w:after="0" w:line="95" w:lineRule="exact"/>
        <w:rPr>
          <w:rFonts w:ascii="Times New Roman" w:cs="Times New Roman" w:eastAsia="Times New Roman" w:hAnsi="Times New Roman"/>
          <w:sz w:val="14"/>
          <w:szCs w:val="14"/>
          <w:color w:val="auto"/>
        </w:rPr>
      </w:pPr>
    </w:p>
    <w:p>
      <w:pPr>
        <w:ind w:left="2200" w:right="559" w:hanging="338"/>
        <w:spacing w:after="0" w:line="267" w:lineRule="auto"/>
        <w:tabs>
          <w:tab w:leader="none" w:pos="22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persons holding our Common Stock as part of a hedge, straddle or other risk reduction strategy or as part of a conversion transaction or other integrated investment;</w:t>
      </w:r>
    </w:p>
    <w:p>
      <w:pPr>
        <w:spacing w:after="0" w:line="63" w:lineRule="exact"/>
        <w:rPr>
          <w:rFonts w:ascii="Times New Roman" w:cs="Times New Roman" w:eastAsia="Times New Roman" w:hAnsi="Times New Roman"/>
          <w:sz w:val="14"/>
          <w:szCs w:val="14"/>
          <w:color w:val="auto"/>
        </w:rPr>
      </w:pPr>
    </w:p>
    <w:p>
      <w:pPr>
        <w:ind w:left="2200" w:hanging="338"/>
        <w:spacing w:after="0"/>
        <w:tabs>
          <w:tab w:leader="none" w:pos="22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banks, insurance companies and other financial institutions;</w:t>
      </w:r>
    </w:p>
    <w:p>
      <w:pPr>
        <w:spacing w:after="0" w:line="95" w:lineRule="exact"/>
        <w:rPr>
          <w:rFonts w:ascii="Times New Roman" w:cs="Times New Roman" w:eastAsia="Times New Roman" w:hAnsi="Times New Roman"/>
          <w:sz w:val="14"/>
          <w:szCs w:val="14"/>
          <w:color w:val="auto"/>
        </w:rPr>
      </w:pPr>
    </w:p>
    <w:p>
      <w:pPr>
        <w:ind w:left="2200" w:hanging="338"/>
        <w:spacing w:after="0"/>
        <w:tabs>
          <w:tab w:leader="none" w:pos="22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brokers, dealers or traders in securities;</w:t>
      </w:r>
    </w:p>
    <w:p>
      <w:pPr>
        <w:spacing w:after="0" w:line="95" w:lineRule="exact"/>
        <w:rPr>
          <w:rFonts w:ascii="Times New Roman" w:cs="Times New Roman" w:eastAsia="Times New Roman" w:hAnsi="Times New Roman"/>
          <w:sz w:val="14"/>
          <w:szCs w:val="14"/>
          <w:color w:val="auto"/>
        </w:rPr>
      </w:pPr>
    </w:p>
    <w:p>
      <w:pPr>
        <w:ind w:left="2200" w:right="719" w:hanging="338"/>
        <w:spacing w:after="0" w:line="267" w:lineRule="auto"/>
        <w:tabs>
          <w:tab w:leader="none" w:pos="22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“controlled foreign corporations,” “passive foreign investment companies,” and corporations that accumulate earnings to avoid U.S. federal income tax;</w:t>
      </w:r>
    </w:p>
    <w:p>
      <w:pPr>
        <w:spacing w:after="0" w:line="63" w:lineRule="exact"/>
        <w:rPr>
          <w:rFonts w:ascii="Times New Roman" w:cs="Times New Roman" w:eastAsia="Times New Roman" w:hAnsi="Times New Roman"/>
          <w:sz w:val="14"/>
          <w:szCs w:val="14"/>
          <w:color w:val="auto"/>
        </w:rPr>
      </w:pPr>
    </w:p>
    <w:p>
      <w:pPr>
        <w:ind w:left="2200" w:hanging="338"/>
        <w:spacing w:after="0"/>
        <w:tabs>
          <w:tab w:leader="none" w:pos="22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tax-exempt organizations or governmental organizations;</w:t>
      </w:r>
    </w:p>
    <w:p>
      <w:pPr>
        <w:spacing w:after="0" w:line="95" w:lineRule="exact"/>
        <w:rPr>
          <w:rFonts w:ascii="Times New Roman" w:cs="Times New Roman" w:eastAsia="Times New Roman" w:hAnsi="Times New Roman"/>
          <w:sz w:val="14"/>
          <w:szCs w:val="14"/>
          <w:color w:val="auto"/>
        </w:rPr>
      </w:pPr>
    </w:p>
    <w:p>
      <w:pPr>
        <w:ind w:left="2200" w:hanging="338"/>
        <w:spacing w:after="0"/>
        <w:tabs>
          <w:tab w:leader="none" w:pos="22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persons deemed to sell our Common Stock under the constructive sale provisions of the Code;</w:t>
      </w:r>
    </w:p>
    <w:p>
      <w:pPr>
        <w:spacing w:after="0" w:line="95" w:lineRule="exact"/>
        <w:rPr>
          <w:rFonts w:ascii="Times New Roman" w:cs="Times New Roman" w:eastAsia="Times New Roman" w:hAnsi="Times New Roman"/>
          <w:sz w:val="14"/>
          <w:szCs w:val="14"/>
          <w:color w:val="auto"/>
        </w:rPr>
      </w:pPr>
    </w:p>
    <w:p>
      <w:pPr>
        <w:ind w:left="2200" w:hanging="338"/>
        <w:spacing w:after="0"/>
        <w:tabs>
          <w:tab w:leader="none" w:pos="22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persons who hold or receive our Common Stock pursuant to the exercise of any employee stock option or otherwise as compensation;</w:t>
      </w:r>
    </w:p>
    <w:p>
      <w:pPr>
        <w:spacing w:after="0" w:line="95" w:lineRule="exact"/>
        <w:rPr>
          <w:rFonts w:ascii="Times New Roman" w:cs="Times New Roman" w:eastAsia="Times New Roman" w:hAnsi="Times New Roman"/>
          <w:sz w:val="14"/>
          <w:szCs w:val="14"/>
          <w:color w:val="auto"/>
        </w:rPr>
      </w:pPr>
    </w:p>
    <w:p>
      <w:pPr>
        <w:ind w:left="2200" w:hanging="338"/>
        <w:spacing w:after="0"/>
        <w:tabs>
          <w:tab w:leader="none" w:pos="22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expressly provided below, persons who own or have owned, actually or constructively, more than 5% of our Common Stock;</w:t>
      </w:r>
    </w:p>
    <w:p>
      <w:pPr>
        <w:spacing w:after="0" w:line="95" w:lineRule="exact"/>
        <w:rPr>
          <w:rFonts w:ascii="Times New Roman" w:cs="Times New Roman" w:eastAsia="Times New Roman" w:hAnsi="Times New Roman"/>
          <w:sz w:val="14"/>
          <w:szCs w:val="14"/>
          <w:color w:val="auto"/>
        </w:rPr>
      </w:pPr>
    </w:p>
    <w:p>
      <w:pPr>
        <w:ind w:left="2200" w:right="419" w:hanging="338"/>
        <w:spacing w:after="0" w:line="267" w:lineRule="auto"/>
        <w:tabs>
          <w:tab w:leader="none" w:pos="22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persons subject to special tax accounting rules as a result of any item of gross income with respect to our Common Stock being taken into account on an applicable financial statement; and</w:t>
      </w:r>
    </w:p>
    <w:p>
      <w:pPr>
        <w:spacing w:after="0" w:line="63" w:lineRule="exact"/>
        <w:rPr>
          <w:rFonts w:ascii="Times New Roman" w:cs="Times New Roman" w:eastAsia="Times New Roman" w:hAnsi="Times New Roman"/>
          <w:sz w:val="14"/>
          <w:szCs w:val="14"/>
          <w:color w:val="auto"/>
        </w:rPr>
      </w:pPr>
    </w:p>
    <w:p>
      <w:pPr>
        <w:ind w:left="2200" w:hanging="338"/>
        <w:spacing w:after="0"/>
        <w:tabs>
          <w:tab w:leader="none" w:pos="22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tax-qualified retirement plans.</w:t>
      </w:r>
    </w:p>
    <w:p>
      <w:pPr>
        <w:spacing w:after="0" w:line="168" w:lineRule="exact"/>
        <w:rPr>
          <w:sz w:val="20"/>
          <w:szCs w:val="20"/>
          <w:color w:val="auto"/>
        </w:rPr>
      </w:pPr>
    </w:p>
    <w:p>
      <w:pPr>
        <w:ind w:left="1460" w:right="519" w:firstLine="335"/>
        <w:spacing w:after="0" w:line="252" w:lineRule="auto"/>
        <w:rPr>
          <w:sz w:val="20"/>
          <w:szCs w:val="20"/>
          <w:color w:val="auto"/>
        </w:rPr>
      </w:pPr>
      <w:r>
        <w:rPr>
          <w:rFonts w:ascii="Times New Roman" w:cs="Times New Roman" w:eastAsia="Times New Roman" w:hAnsi="Times New Roman"/>
          <w:sz w:val="14"/>
          <w:szCs w:val="14"/>
          <w:color w:val="auto"/>
        </w:rPr>
        <w:t>If a partnership (or entity or arrangement classified as a partnership for U.S. federal income tax purposes) is a beneficial owner of our Common Stock, the tax treatment of a partner in the partnership (or member in such other entity) will generally depend upon the status of the partner and the activities of the partnership. Any partner in a partnership holding shares of our Common Stock (and such partnership) should consult their own tax advisors.</w:t>
      </w:r>
    </w:p>
    <w:p>
      <w:pPr>
        <w:spacing w:after="0" w:line="146" w:lineRule="exact"/>
        <w:rPr>
          <w:sz w:val="20"/>
          <w:szCs w:val="20"/>
          <w:color w:val="auto"/>
        </w:rPr>
      </w:pPr>
    </w:p>
    <w:p>
      <w:pPr>
        <w:ind w:left="1460" w:right="479" w:firstLine="335"/>
        <w:spacing w:after="0" w:line="256" w:lineRule="auto"/>
        <w:rPr>
          <w:sz w:val="20"/>
          <w:szCs w:val="20"/>
          <w:color w:val="auto"/>
        </w:rPr>
      </w:pPr>
      <w:r>
        <w:rPr>
          <w:rFonts w:ascii="Times New Roman" w:cs="Times New Roman" w:eastAsia="Times New Roman" w:hAnsi="Times New Roman"/>
          <w:sz w:val="14"/>
          <w:szCs w:val="14"/>
          <w:color w:val="auto"/>
        </w:rPr>
        <w:t>Prospective investors are urged to consult their tax advisors with respect to the application of the U.S. federal income tax laws to their particular situations as well as any tax consequences of the purchase, ownership and disposition of shares of our Common Stock arising under the U.S. federal estate or gift tax rules or under the laws of any state, local, non-U.S. or other taxing jurisdiction or under any applicable tax treaty.</w:t>
      </w:r>
    </w:p>
    <w:p>
      <w:pPr>
        <w:spacing w:after="0" w:line="91"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S-12</w:t>
      </w:r>
    </w:p>
    <w:p>
      <w:pPr>
        <w:sectPr>
          <w:pgSz w:w="11900" w:h="16838" w:orient="portrait"/>
          <w:cols w:equalWidth="0" w:num="1">
            <w:col w:w="10159"/>
          </w:cols>
          <w:pgMar w:left="300" w:top="380" w:right="1440"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4">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40"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i w:val="1"/>
          <w:iCs w:val="1"/>
          <w:color w:val="auto"/>
        </w:rPr>
        <w:t>Definition of Non-U.S. Holder</w:t>
      </w:r>
    </w:p>
    <w:p>
      <w:pPr>
        <w:spacing w:after="0" w:line="90" w:lineRule="exact"/>
        <w:rPr>
          <w:sz w:val="20"/>
          <w:szCs w:val="20"/>
          <w:color w:val="auto"/>
        </w:rPr>
      </w:pPr>
    </w:p>
    <w:p>
      <w:pPr>
        <w:ind w:left="1460" w:right="439" w:firstLine="335"/>
        <w:spacing w:after="0" w:line="256" w:lineRule="auto"/>
        <w:rPr>
          <w:sz w:val="20"/>
          <w:szCs w:val="20"/>
          <w:color w:val="auto"/>
        </w:rPr>
      </w:pPr>
      <w:r>
        <w:rPr>
          <w:rFonts w:ascii="Times New Roman" w:cs="Times New Roman" w:eastAsia="Times New Roman" w:hAnsi="Times New Roman"/>
          <w:sz w:val="14"/>
          <w:szCs w:val="14"/>
          <w:color w:val="auto"/>
        </w:rPr>
        <w:t>For purposes of this summary, a “non-U.S. holder” is any beneficial owner of shares of our Common Stock that is neither a “U.S. person” nor an entity treated as a partnership for U.S. federal income tax purposes. A “U.S. person” is any person that, for U.S. federal income tax purposes, is or is treated as any of the following:</w:t>
      </w:r>
    </w:p>
    <w:p>
      <w:pPr>
        <w:spacing w:after="0" w:line="71" w:lineRule="exact"/>
        <w:rPr>
          <w:sz w:val="20"/>
          <w:szCs w:val="20"/>
          <w:color w:val="auto"/>
        </w:rPr>
      </w:pPr>
    </w:p>
    <w:p>
      <w:pPr>
        <w:ind w:left="2200" w:hanging="338"/>
        <w:spacing w:after="0"/>
        <w:tabs>
          <w:tab w:leader="none" w:pos="22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individual who is a citizen or resident of the United States;</w:t>
      </w:r>
    </w:p>
    <w:p>
      <w:pPr>
        <w:spacing w:after="0" w:line="95" w:lineRule="exact"/>
        <w:rPr>
          <w:rFonts w:ascii="Times New Roman" w:cs="Times New Roman" w:eastAsia="Times New Roman" w:hAnsi="Times New Roman"/>
          <w:sz w:val="14"/>
          <w:szCs w:val="14"/>
          <w:color w:val="auto"/>
        </w:rPr>
      </w:pPr>
    </w:p>
    <w:p>
      <w:pPr>
        <w:ind w:left="2200" w:right="519" w:hanging="338"/>
        <w:spacing w:after="0" w:line="267" w:lineRule="auto"/>
        <w:tabs>
          <w:tab w:leader="none" w:pos="22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corporation (or another entity treated for U.S. federal income tax purposes as a corporation) created or organized under the laws of the United States, any state thereof, or the District of Columbia;</w:t>
      </w:r>
    </w:p>
    <w:p>
      <w:pPr>
        <w:spacing w:after="0" w:line="63" w:lineRule="exact"/>
        <w:rPr>
          <w:rFonts w:ascii="Times New Roman" w:cs="Times New Roman" w:eastAsia="Times New Roman" w:hAnsi="Times New Roman"/>
          <w:sz w:val="14"/>
          <w:szCs w:val="14"/>
          <w:color w:val="auto"/>
        </w:rPr>
      </w:pPr>
    </w:p>
    <w:p>
      <w:pPr>
        <w:ind w:left="2200" w:hanging="338"/>
        <w:spacing w:after="0"/>
        <w:tabs>
          <w:tab w:leader="none" w:pos="22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estate, the income of which is subject to U.S. federal income tax regardless of its source; or</w:t>
      </w:r>
    </w:p>
    <w:p>
      <w:pPr>
        <w:spacing w:after="0" w:line="95" w:lineRule="exact"/>
        <w:rPr>
          <w:rFonts w:ascii="Times New Roman" w:cs="Times New Roman" w:eastAsia="Times New Roman" w:hAnsi="Times New Roman"/>
          <w:sz w:val="14"/>
          <w:szCs w:val="14"/>
          <w:color w:val="auto"/>
        </w:rPr>
      </w:pPr>
    </w:p>
    <w:p>
      <w:pPr>
        <w:ind w:left="2200" w:right="539" w:hanging="338"/>
        <w:spacing w:after="0" w:line="256" w:lineRule="auto"/>
        <w:tabs>
          <w:tab w:leader="none" w:pos="22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trust that (1) is subject to the primary supervision of a U.S. court and the control of one or more “United States persons” (within the meaning of Section 7701(a)(30) of the Code), or (2) has a valid election in effect to be treated as a United States person for U.S. federal income tax purposes.</w:t>
      </w:r>
    </w:p>
    <w:p>
      <w:pPr>
        <w:spacing w:after="0" w:line="221"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4"/>
          <w:szCs w:val="14"/>
          <w:b w:val="1"/>
          <w:bCs w:val="1"/>
          <w:i w:val="1"/>
          <w:iCs w:val="1"/>
          <w:color w:val="auto"/>
        </w:rPr>
        <w:t>Distributions on Our Common Stock</w:t>
      </w:r>
    </w:p>
    <w:p>
      <w:pPr>
        <w:spacing w:after="0" w:line="90" w:lineRule="exact"/>
        <w:rPr>
          <w:sz w:val="20"/>
          <w:szCs w:val="20"/>
          <w:color w:val="auto"/>
        </w:rPr>
      </w:pPr>
    </w:p>
    <w:p>
      <w:pPr>
        <w:ind w:left="1460" w:right="379" w:firstLine="335"/>
        <w:spacing w:after="0" w:line="272" w:lineRule="auto"/>
        <w:rPr>
          <w:sz w:val="20"/>
          <w:szCs w:val="20"/>
          <w:color w:val="auto"/>
        </w:rPr>
      </w:pPr>
      <w:r>
        <w:rPr>
          <w:rFonts w:ascii="Times New Roman" w:cs="Times New Roman" w:eastAsia="Times New Roman" w:hAnsi="Times New Roman"/>
          <w:sz w:val="13"/>
          <w:szCs w:val="13"/>
          <w:color w:val="auto"/>
        </w:rPr>
        <w:t>To the extent that we make cash or other property distributions on our Common Stock, other than certain pro rata distributions of our Common Stock, such distributions will constitute dividends for U.S. federal income tax purposes to the extent paid from our current earnings and profits for that taxable year or our accumulated earnings and profits, as determined under U.S. federal income tax principles. Distributions in excess of our current and accumulated earnings and profits will, first, constitute a return of capital and reduce a non-U.S. holder’s adjusted tax basis in their shares of our Common Stock, but not below zero, and then will be treated as gain realized on the sale or other disposition of shares of our Common Stock and will be treated as described under the section titled “—</w:t>
      </w:r>
      <w:r>
        <w:rPr>
          <w:rFonts w:ascii="Times New Roman" w:cs="Times New Roman" w:eastAsia="Times New Roman" w:hAnsi="Times New Roman"/>
          <w:sz w:val="13"/>
          <w:szCs w:val="13"/>
          <w:i w:val="1"/>
          <w:iCs w:val="1"/>
          <w:color w:val="auto"/>
        </w:rPr>
        <w:t>Gain on Sale or Other Disposition of Shares of Our Common Stock</w:t>
      </w:r>
      <w:r>
        <w:rPr>
          <w:rFonts w:ascii="Times New Roman" w:cs="Times New Roman" w:eastAsia="Times New Roman" w:hAnsi="Times New Roman"/>
          <w:sz w:val="13"/>
          <w:szCs w:val="13"/>
          <w:color w:val="auto"/>
        </w:rPr>
        <w:t>” below.</w:t>
      </w:r>
    </w:p>
    <w:p>
      <w:pPr>
        <w:spacing w:after="0" w:line="134" w:lineRule="exact"/>
        <w:rPr>
          <w:sz w:val="20"/>
          <w:szCs w:val="20"/>
          <w:color w:val="auto"/>
        </w:rPr>
      </w:pPr>
    </w:p>
    <w:p>
      <w:pPr>
        <w:ind w:left="1460" w:right="559" w:firstLine="335"/>
        <w:spacing w:after="0" w:line="250" w:lineRule="auto"/>
        <w:rPr>
          <w:sz w:val="20"/>
          <w:szCs w:val="20"/>
          <w:color w:val="auto"/>
        </w:rPr>
      </w:pPr>
      <w:r>
        <w:rPr>
          <w:rFonts w:ascii="Times New Roman" w:cs="Times New Roman" w:eastAsia="Times New Roman" w:hAnsi="Times New Roman"/>
          <w:sz w:val="14"/>
          <w:szCs w:val="14"/>
          <w:color w:val="auto"/>
        </w:rPr>
        <w:t>Subject to the discussion below on effectively connected income, dividends paid to a non-U.S. holder of our Common Stock generally will be subject to U.S. federal withholding tax at a rate of 30% of the gross amount of the dividends, or such lower rate as may be specified by an applicable income tax treaty. To obtain the benefit of a reduced treaty rate (subject to the FATCA discussion below), a non-U.S. holder must furnish to the applicable withholding agent a duly completed and properly executed IRS Form W-8BEN or W-8BEN-E (or applicable successor form) certifying, under penalties of perjury, such non-U.S. holder’s qualification for the reduced rate.</w:t>
      </w:r>
    </w:p>
    <w:p>
      <w:pPr>
        <w:spacing w:after="0" w:line="148" w:lineRule="exact"/>
        <w:rPr>
          <w:sz w:val="20"/>
          <w:szCs w:val="20"/>
          <w:color w:val="auto"/>
        </w:rPr>
      </w:pPr>
    </w:p>
    <w:p>
      <w:pPr>
        <w:ind w:left="1460" w:right="379" w:firstLine="335"/>
        <w:spacing w:after="0" w:line="271" w:lineRule="auto"/>
        <w:rPr>
          <w:sz w:val="20"/>
          <w:szCs w:val="20"/>
          <w:color w:val="auto"/>
        </w:rPr>
      </w:pPr>
      <w:r>
        <w:rPr>
          <w:rFonts w:ascii="Times New Roman" w:cs="Times New Roman" w:eastAsia="Times New Roman" w:hAnsi="Times New Roman"/>
          <w:sz w:val="13"/>
          <w:szCs w:val="13"/>
          <w:color w:val="auto"/>
        </w:rPr>
        <w:t>If a non-U.S. holder holds shares of our Common Stock in connection with the conduct of a trade or business in the United States, and dividends paid on shares of our Common Stock are effectively connected with such non-U.S. holder’s U.S. trade or business (and, if required by an applicable income tax treaty, are attributable to a permanent establishment maintained by the non-U.S. holder in the United States), the dividends paid to the non-U.S. holder will be exempt from the aforementioned U.S. federal withholding tax. To claim this exemption, the non-U.S. holder must furnish to the applicable withholding agent a properly executed IRS Form W-8ECI (or applicable successor form). Effectively connected dividends generally will be subject to U.S. federal income tax on a net income basis at U.S. federal income tax rates in the same manner as if such non-U.S. holder were a U.S. person, and in the case of a corporate non-U.S. holder also may be subject to a branch profits tax at a rate of 30% (or a lower treaty rate, if applicable).</w:t>
      </w:r>
    </w:p>
    <w:p>
      <w:pPr>
        <w:spacing w:after="0" w:line="134" w:lineRule="exact"/>
        <w:rPr>
          <w:sz w:val="20"/>
          <w:szCs w:val="20"/>
          <w:color w:val="auto"/>
        </w:rPr>
      </w:pPr>
    </w:p>
    <w:p>
      <w:pPr>
        <w:ind w:left="1460" w:right="439" w:firstLine="335"/>
        <w:spacing w:after="0" w:line="252" w:lineRule="auto"/>
        <w:rPr>
          <w:sz w:val="20"/>
          <w:szCs w:val="20"/>
          <w:color w:val="auto"/>
        </w:rPr>
      </w:pPr>
      <w:r>
        <w:rPr>
          <w:rFonts w:ascii="Times New Roman" w:cs="Times New Roman" w:eastAsia="Times New Roman" w:hAnsi="Times New Roman"/>
          <w:sz w:val="14"/>
          <w:szCs w:val="14"/>
          <w:color w:val="auto"/>
        </w:rPr>
        <w:t>A non-U.S. holder that claims exemption from withholding or the benefit of an applicable income tax treaty generally will be required to satisfy applicable certification and other requirements prior to the distribution date. Non-U.S. holders that do not timely provide the applicable withholding agent with the required certification may obtain a refund of any excess amounts withheld by timely filing an appropriate claim for refund with the IRS. Non-U.S. holders should consult their tax advisors regarding the tax consequences of distributions on our Common Stock.</w:t>
      </w:r>
    </w:p>
    <w:p>
      <w:pPr>
        <w:spacing w:after="0" w:line="9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S-13</w:t>
      </w:r>
    </w:p>
    <w:p>
      <w:pPr>
        <w:sectPr>
          <w:pgSz w:w="11900" w:h="16838" w:orient="portrait"/>
          <w:cols w:equalWidth="0" w:num="1">
            <w:col w:w="10159"/>
          </w:cols>
          <w:pgMar w:left="300" w:top="380" w:right="1440"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5">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40"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i w:val="1"/>
          <w:iCs w:val="1"/>
          <w:color w:val="auto"/>
        </w:rPr>
        <w:t>Gain on Sale or Other Disposition of Shares of Our Common Stock</w:t>
      </w:r>
    </w:p>
    <w:p>
      <w:pPr>
        <w:spacing w:after="0" w:line="90" w:lineRule="exact"/>
        <w:rPr>
          <w:sz w:val="20"/>
          <w:szCs w:val="20"/>
          <w:color w:val="auto"/>
        </w:rPr>
      </w:pPr>
    </w:p>
    <w:p>
      <w:pPr>
        <w:ind w:left="1460" w:right="759" w:firstLine="335"/>
        <w:spacing w:after="0" w:line="267" w:lineRule="auto"/>
        <w:rPr>
          <w:sz w:val="20"/>
          <w:szCs w:val="20"/>
          <w:color w:val="auto"/>
        </w:rPr>
      </w:pPr>
      <w:r>
        <w:rPr>
          <w:rFonts w:ascii="Times New Roman" w:cs="Times New Roman" w:eastAsia="Times New Roman" w:hAnsi="Times New Roman"/>
          <w:sz w:val="14"/>
          <w:szCs w:val="14"/>
          <w:color w:val="auto"/>
        </w:rPr>
        <w:t>Subject to the discussions below regarding backup withholding and FATCA, a non-U.S. holder generally will not be subject to U.S. federal income tax on any gain realized upon the sale or other disposition of shares of our Common Stock unless:</w:t>
      </w:r>
    </w:p>
    <w:p>
      <w:pPr>
        <w:spacing w:after="0" w:line="63" w:lineRule="exact"/>
        <w:rPr>
          <w:sz w:val="20"/>
          <w:szCs w:val="20"/>
          <w:color w:val="auto"/>
        </w:rPr>
      </w:pPr>
    </w:p>
    <w:p>
      <w:pPr>
        <w:ind w:left="2200" w:right="639" w:hanging="338"/>
        <w:spacing w:after="0" w:line="306" w:lineRule="auto"/>
        <w:tabs>
          <w:tab w:leader="none" w:pos="220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gain is effectively connected with a trade or business carried on by the non-U.S. holder in the United States (and, if required by an applicable income tax treaty, is attributable to a permanent establishment of the non-U.S. holder maintained in the United States);</w:t>
      </w:r>
    </w:p>
    <w:p>
      <w:pPr>
        <w:spacing w:after="0" w:line="40" w:lineRule="exact"/>
        <w:rPr>
          <w:rFonts w:ascii="Times New Roman" w:cs="Times New Roman" w:eastAsia="Times New Roman" w:hAnsi="Times New Roman"/>
          <w:sz w:val="13"/>
          <w:szCs w:val="13"/>
          <w:color w:val="auto"/>
        </w:rPr>
      </w:pPr>
    </w:p>
    <w:p>
      <w:pPr>
        <w:ind w:left="2200" w:right="739" w:hanging="338"/>
        <w:spacing w:after="0" w:line="267" w:lineRule="auto"/>
        <w:tabs>
          <w:tab w:leader="none" w:pos="22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non-U.S. holder is a nonresident alien individual present in the United States for 183 days or more during the taxable year of the disposition and certain other requirements are met; or</w:t>
      </w:r>
    </w:p>
    <w:p>
      <w:pPr>
        <w:spacing w:after="0" w:line="63" w:lineRule="exact"/>
        <w:rPr>
          <w:rFonts w:ascii="Times New Roman" w:cs="Times New Roman" w:eastAsia="Times New Roman" w:hAnsi="Times New Roman"/>
          <w:sz w:val="14"/>
          <w:szCs w:val="14"/>
          <w:color w:val="auto"/>
        </w:rPr>
      </w:pPr>
    </w:p>
    <w:p>
      <w:pPr>
        <w:ind w:left="2200" w:right="419" w:hanging="338"/>
        <w:spacing w:after="0" w:line="306" w:lineRule="auto"/>
        <w:tabs>
          <w:tab w:leader="none" w:pos="220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are or have been a U.S. real property holding corporation (a “USRPHC”), for U.S. federal income tax purposes, at any time within the shorter of the five-year period preceding the disposition and the non-U.S. holder’s holding period for the shares of our Common Stock.</w:t>
      </w:r>
    </w:p>
    <w:p>
      <w:pPr>
        <w:spacing w:after="0" w:line="112" w:lineRule="exact"/>
        <w:rPr>
          <w:sz w:val="20"/>
          <w:szCs w:val="20"/>
          <w:color w:val="auto"/>
        </w:rPr>
      </w:pPr>
    </w:p>
    <w:p>
      <w:pPr>
        <w:jc w:val="both"/>
        <w:ind w:left="1460" w:right="379" w:firstLine="335"/>
        <w:spacing w:after="0" w:line="256" w:lineRule="auto"/>
        <w:rPr>
          <w:sz w:val="20"/>
          <w:szCs w:val="20"/>
          <w:color w:val="auto"/>
        </w:rPr>
      </w:pPr>
      <w:r>
        <w:rPr>
          <w:rFonts w:ascii="Times New Roman" w:cs="Times New Roman" w:eastAsia="Times New Roman" w:hAnsi="Times New Roman"/>
          <w:sz w:val="14"/>
          <w:szCs w:val="14"/>
          <w:color w:val="auto"/>
        </w:rPr>
        <w:t>Gain described in the first bullet point above generally will be subject to U.S. federal income tax on a net-income basis at the regular rates and in the same manner applicable to U.S. persons. A non-U.S. holder that is a corporation also may be subject to a branch profits tax at a rate of 30% (or such lower rate specified by an applicable income tax treaty) on effectively connected gain, subject to certain adjustments.</w:t>
      </w:r>
    </w:p>
    <w:p>
      <w:pPr>
        <w:spacing w:after="0" w:line="143" w:lineRule="exact"/>
        <w:rPr>
          <w:sz w:val="20"/>
          <w:szCs w:val="20"/>
          <w:color w:val="auto"/>
        </w:rPr>
      </w:pPr>
    </w:p>
    <w:p>
      <w:pPr>
        <w:ind w:left="1460" w:right="639" w:firstLine="335"/>
        <w:spacing w:after="0" w:line="267" w:lineRule="auto"/>
        <w:rPr>
          <w:sz w:val="20"/>
          <w:szCs w:val="20"/>
          <w:color w:val="auto"/>
        </w:rPr>
      </w:pPr>
      <w:r>
        <w:rPr>
          <w:rFonts w:ascii="Times New Roman" w:cs="Times New Roman" w:eastAsia="Times New Roman" w:hAnsi="Times New Roman"/>
          <w:sz w:val="14"/>
          <w:szCs w:val="14"/>
          <w:color w:val="auto"/>
        </w:rPr>
        <w:t>Gain described in the second bullet point above will be subject to U.S. federal income tax at a rate of 30% (or such lower rate specified by an applicable income tax treaty), which may be offset by certain U.S. source capital losses, subject to certain limitations.</w:t>
      </w:r>
    </w:p>
    <w:p>
      <w:pPr>
        <w:spacing w:after="0" w:line="135" w:lineRule="exact"/>
        <w:rPr>
          <w:sz w:val="20"/>
          <w:szCs w:val="20"/>
          <w:color w:val="auto"/>
        </w:rPr>
      </w:pPr>
    </w:p>
    <w:p>
      <w:pPr>
        <w:ind w:left="1460" w:right="399" w:firstLine="335"/>
        <w:spacing w:after="0" w:line="269" w:lineRule="auto"/>
        <w:rPr>
          <w:sz w:val="20"/>
          <w:szCs w:val="20"/>
          <w:color w:val="auto"/>
        </w:rPr>
      </w:pPr>
      <w:r>
        <w:rPr>
          <w:rFonts w:ascii="Times New Roman" w:cs="Times New Roman" w:eastAsia="Times New Roman" w:hAnsi="Times New Roman"/>
          <w:sz w:val="13"/>
          <w:szCs w:val="13"/>
          <w:color w:val="auto"/>
        </w:rPr>
        <w:t>With respect to the third bullet point above, the determination of whether we are a USRPHC generally depends on the fair market value of our U.S. real property interests relative to the fair market value of our non-U.S. real property interests and our other business assets. There can be no assurance that we are not a USRPHC currently or that we will not become a USRPHC in the future. Even if we are or were to become a USRPHC, gain arising from the sale or other taxable disposition by a non-U.S. holder of our Common Stock will not be subject to U.S. federal income tax if our Common Stock is “regularly traded,” as defined by applicable Treasury Regulations, on an established securities market (such as the New York Stock Exchange), and such non-U.S. holder owned, actually and constructively, 5% or less of our Common Stock throughout the shorter of the five-year period ending on the date of the sale or other taxable disposition or the non-U.S. holder’s holding period. Although we intend and expect our Common Stock to remain regularly traded, we can provide no assurance that our Common Stock will remain regularly traded. Non-U.S. holders should consult their tax advisors regarding the U.S. federal income tax consequences to them if we are or become a USRPHC.</w:t>
      </w:r>
    </w:p>
    <w:p>
      <w:pPr>
        <w:spacing w:after="0" w:line="215"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4"/>
          <w:szCs w:val="14"/>
          <w:b w:val="1"/>
          <w:bCs w:val="1"/>
          <w:i w:val="1"/>
          <w:iCs w:val="1"/>
          <w:color w:val="auto"/>
        </w:rPr>
        <w:t>Backup Withholding and Information Reporting</w:t>
      </w:r>
    </w:p>
    <w:p>
      <w:pPr>
        <w:spacing w:after="0" w:line="90" w:lineRule="exact"/>
        <w:rPr>
          <w:sz w:val="20"/>
          <w:szCs w:val="20"/>
          <w:color w:val="auto"/>
        </w:rPr>
      </w:pPr>
    </w:p>
    <w:p>
      <w:pPr>
        <w:ind w:left="1460" w:right="319" w:firstLine="335"/>
        <w:spacing w:after="0" w:line="247" w:lineRule="auto"/>
        <w:rPr>
          <w:sz w:val="20"/>
          <w:szCs w:val="20"/>
          <w:color w:val="auto"/>
        </w:rPr>
      </w:pPr>
      <w:r>
        <w:rPr>
          <w:rFonts w:ascii="Times New Roman" w:cs="Times New Roman" w:eastAsia="Times New Roman" w:hAnsi="Times New Roman"/>
          <w:sz w:val="14"/>
          <w:szCs w:val="14"/>
          <w:color w:val="auto"/>
        </w:rPr>
        <w:t>Generally, an applicable withholding agent will be required to report annually to the IRS and to each non-U.S. holder the amount of dividends paid to, and the tax withheld with respect to, each non-U.S. holder. Under specific treaties or agreements, this information also may be made available to the tax authorities in the country in which the non-U.S. holder resides or is established. Backup withholding, currently at a 24% rate, generally will not apply to distributions made to a non-U.S. holder of shares of our Common Stock provided the non-U.S. holder furnishes to the applicable withholding agent the required certification of its non-U.S. status. In addition, proceeds of the sale or other taxable disposition of shares of our Common Stock within the United States or conducted through certain U.S.-related brokers generally will not be subject to backup withholding or information reporting, if the applicable withholding agent receives the certification described above and does not have actual knowledge or reason to know that such holder is a U.S. person, or the holder otherwise establishes an exemption. Proceeds of a disposition of shares of our Common Stock conducted through a non-U.S. office of a non-U.S. broker generally will not be subject to backup withholding or information reporting.</w:t>
      </w:r>
    </w:p>
    <w:p>
      <w:pPr>
        <w:spacing w:after="0" w:line="10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S-14</w:t>
      </w:r>
    </w:p>
    <w:p>
      <w:pPr>
        <w:sectPr>
          <w:pgSz w:w="11900" w:h="16838" w:orient="portrait"/>
          <w:cols w:equalWidth="0" w:num="1">
            <w:col w:w="10159"/>
          </w:cols>
          <w:pgMar w:left="300" w:top="380" w:right="1440"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6">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44" w:lineRule="exact"/>
        <w:rPr>
          <w:sz w:val="20"/>
          <w:szCs w:val="20"/>
          <w:color w:val="auto"/>
        </w:rPr>
      </w:pPr>
    </w:p>
    <w:p>
      <w:pPr>
        <w:ind w:left="1460" w:right="559" w:firstLine="335"/>
        <w:spacing w:after="0" w:line="267" w:lineRule="auto"/>
        <w:rPr>
          <w:sz w:val="20"/>
          <w:szCs w:val="20"/>
          <w:color w:val="auto"/>
        </w:rPr>
      </w:pPr>
      <w:r>
        <w:rPr>
          <w:rFonts w:ascii="Times New Roman" w:cs="Times New Roman" w:eastAsia="Times New Roman" w:hAnsi="Times New Roman"/>
          <w:sz w:val="14"/>
          <w:szCs w:val="14"/>
          <w:color w:val="auto"/>
        </w:rPr>
        <w:t>Backup withholding is not an additional tax. Any amounts withheld under the backup withholding rules may be allowed as a refund or a credit against a non-U.S. holder’s U.S. federal income tax liability, or refunded, provided all required information is timely furnished to the IRS.</w:t>
      </w:r>
    </w:p>
    <w:p>
      <w:pPr>
        <w:spacing w:after="0" w:line="213"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i w:val="1"/>
          <w:iCs w:val="1"/>
          <w:color w:val="auto"/>
        </w:rPr>
        <w:t>FATCA</w:t>
      </w:r>
    </w:p>
    <w:p>
      <w:pPr>
        <w:spacing w:after="0" w:line="90" w:lineRule="exact"/>
        <w:rPr>
          <w:sz w:val="20"/>
          <w:szCs w:val="20"/>
          <w:color w:val="auto"/>
        </w:rPr>
      </w:pPr>
    </w:p>
    <w:p>
      <w:pPr>
        <w:ind w:left="1460" w:right="359" w:firstLine="335"/>
        <w:spacing w:after="0" w:line="247" w:lineRule="auto"/>
        <w:rPr>
          <w:sz w:val="20"/>
          <w:szCs w:val="20"/>
          <w:color w:val="auto"/>
        </w:rPr>
      </w:pPr>
      <w:r>
        <w:rPr>
          <w:rFonts w:ascii="Times New Roman" w:cs="Times New Roman" w:eastAsia="Times New Roman" w:hAnsi="Times New Roman"/>
          <w:sz w:val="14"/>
          <w:szCs w:val="14"/>
          <w:color w:val="auto"/>
        </w:rPr>
        <w:t>Provisions of the Code and related Treasury guidance commonly referred to as “FATCA” require withholding of 30% on payments of dividends on our Common Stock to “foreign financial institutions” (which is broadly defined for this purpose and in general includes investment vehicles) and certain other non-U.S. entities unless various U.S. information reporting and due diligence requirements (generally relating to ownership by U.S. persons of interests in or accounts with those entities) have been satisfied, or an applicable exemption is established. An intergovernmental agreement between the United States and an applicable foreign country may modify these requirements. If FATCA withholding is imposed, a beneficial owner that is not a foreign financial institution generally may obtain a refund of any amounts withheld by filing a U.S. federal income tax return (which may entail significant administrative burden). Although withholding under FATCA would apply to payments of gross proceeds from the sale or other disposition of our Common Stock, proposed Treasury Regulations eliminate FATCA withholding on payments of gross proceeds entirely. Taxpayers generally may rely on these proposed Treasury Regulations until final Treasury Regulations are issued. Holders should consult their tax advisors regarding the effects of FATCA on their investment in our Common Stock.</w:t>
      </w:r>
    </w:p>
    <w:p>
      <w:pPr>
        <w:spacing w:after="0" w:line="100"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S-15</w:t>
      </w:r>
    </w:p>
    <w:p>
      <w:pPr>
        <w:sectPr>
          <w:pgSz w:w="11900" w:h="16838" w:orient="portrait"/>
          <w:cols w:equalWidth="0" w:num="1">
            <w:col w:w="10159"/>
          </w:cols>
          <w:pgMar w:left="300" w:top="380" w:right="1440"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7">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4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PLAN OF DISTRIBUTION</w:t>
      </w:r>
    </w:p>
    <w:p>
      <w:pPr>
        <w:spacing w:after="0" w:line="172" w:lineRule="exact"/>
        <w:rPr>
          <w:sz w:val="20"/>
          <w:szCs w:val="20"/>
          <w:color w:val="auto"/>
        </w:rPr>
      </w:pPr>
    </w:p>
    <w:p>
      <w:pPr>
        <w:ind w:left="1460" w:right="499" w:firstLine="335"/>
        <w:spacing w:after="0" w:line="249" w:lineRule="auto"/>
        <w:rPr>
          <w:sz w:val="20"/>
          <w:szCs w:val="20"/>
          <w:color w:val="auto"/>
        </w:rPr>
      </w:pPr>
      <w:r>
        <w:rPr>
          <w:rFonts w:ascii="Times New Roman" w:cs="Times New Roman" w:eastAsia="Times New Roman" w:hAnsi="Times New Roman"/>
          <w:sz w:val="14"/>
          <w:szCs w:val="14"/>
          <w:color w:val="auto"/>
        </w:rPr>
        <w:t>The selling stockholders, which as used herein includes donees, pledgees, transferees or other successors-in-interest selling shares of Common Stock or interests in shares of Common Stock received after the date of this prospectus supplement from a selling stockholder as a gift, pledge, partnership distribution or other transfer, may, from time to time, sell, transfer or otherwise dispose of any or all of their shares of Common Stock or interests in shares of Common Stock on any stock exchange, market or trading facility on which the shares are traded or in private transactions. These dispositions may be at fixed prices, at prevailing market prices at the time of sale, at prices related to the prevailing market price, at varying prices determined at the time of sale, or at negotiated prices.</w:t>
      </w:r>
    </w:p>
    <w:p>
      <w:pPr>
        <w:spacing w:after="0" w:line="14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4"/>
          <w:szCs w:val="14"/>
          <w:color w:val="auto"/>
        </w:rPr>
        <w:t>The selling stockholders may use any one or more of the following methods when disposing of shares or interests therein:</w:t>
      </w:r>
    </w:p>
    <w:p>
      <w:pPr>
        <w:spacing w:after="0" w:line="96" w:lineRule="exact"/>
        <w:rPr>
          <w:sz w:val="20"/>
          <w:szCs w:val="20"/>
          <w:color w:val="auto"/>
        </w:rPr>
      </w:pPr>
    </w:p>
    <w:p>
      <w:pPr>
        <w:ind w:left="2200" w:hanging="338"/>
        <w:spacing w:after="0"/>
        <w:tabs>
          <w:tab w:leader="none" w:pos="22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ordinary brokerage transactions and transactions in which the broker-dealer solicits purchasers;</w:t>
      </w:r>
    </w:p>
    <w:p>
      <w:pPr>
        <w:spacing w:after="0" w:line="95" w:lineRule="exact"/>
        <w:rPr>
          <w:rFonts w:ascii="Times New Roman" w:cs="Times New Roman" w:eastAsia="Times New Roman" w:hAnsi="Times New Roman"/>
          <w:sz w:val="14"/>
          <w:szCs w:val="14"/>
          <w:color w:val="auto"/>
        </w:rPr>
      </w:pPr>
    </w:p>
    <w:p>
      <w:pPr>
        <w:ind w:left="2200" w:right="799" w:hanging="338"/>
        <w:spacing w:after="0" w:line="267" w:lineRule="auto"/>
        <w:tabs>
          <w:tab w:leader="none" w:pos="22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block trades in which the broker-dealer will attempt to sell the shares as agent, but may position and resell a portion of the block as principal to facilitate the transaction;</w:t>
      </w:r>
    </w:p>
    <w:p>
      <w:pPr>
        <w:spacing w:after="0" w:line="63" w:lineRule="exact"/>
        <w:rPr>
          <w:rFonts w:ascii="Times New Roman" w:cs="Times New Roman" w:eastAsia="Times New Roman" w:hAnsi="Times New Roman"/>
          <w:sz w:val="14"/>
          <w:szCs w:val="14"/>
          <w:color w:val="auto"/>
        </w:rPr>
      </w:pPr>
    </w:p>
    <w:p>
      <w:pPr>
        <w:ind w:left="2200" w:hanging="338"/>
        <w:spacing w:after="0"/>
        <w:tabs>
          <w:tab w:leader="none" w:pos="22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purchases by a broker-dealer as principal and resale by the broker-dealer for its account;</w:t>
      </w:r>
    </w:p>
    <w:p>
      <w:pPr>
        <w:spacing w:after="0" w:line="95" w:lineRule="exact"/>
        <w:rPr>
          <w:rFonts w:ascii="Times New Roman" w:cs="Times New Roman" w:eastAsia="Times New Roman" w:hAnsi="Times New Roman"/>
          <w:sz w:val="14"/>
          <w:szCs w:val="14"/>
          <w:color w:val="auto"/>
        </w:rPr>
      </w:pPr>
    </w:p>
    <w:p>
      <w:pPr>
        <w:ind w:left="2200" w:hanging="338"/>
        <w:spacing w:after="0"/>
        <w:tabs>
          <w:tab w:leader="none" w:pos="22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exchange distribution in accordance with the rules of the applicable exchange;</w:t>
      </w:r>
    </w:p>
    <w:p>
      <w:pPr>
        <w:spacing w:after="0" w:line="95" w:lineRule="exact"/>
        <w:rPr>
          <w:rFonts w:ascii="Times New Roman" w:cs="Times New Roman" w:eastAsia="Times New Roman" w:hAnsi="Times New Roman"/>
          <w:sz w:val="14"/>
          <w:szCs w:val="14"/>
          <w:color w:val="auto"/>
        </w:rPr>
      </w:pPr>
    </w:p>
    <w:p>
      <w:pPr>
        <w:ind w:left="2200" w:hanging="338"/>
        <w:spacing w:after="0"/>
        <w:tabs>
          <w:tab w:leader="none" w:pos="22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privately negotiated transactions;</w:t>
      </w:r>
    </w:p>
    <w:p>
      <w:pPr>
        <w:spacing w:after="0" w:line="95" w:lineRule="exact"/>
        <w:rPr>
          <w:rFonts w:ascii="Times New Roman" w:cs="Times New Roman" w:eastAsia="Times New Roman" w:hAnsi="Times New Roman"/>
          <w:sz w:val="14"/>
          <w:szCs w:val="14"/>
          <w:color w:val="auto"/>
        </w:rPr>
      </w:pPr>
    </w:p>
    <w:p>
      <w:pPr>
        <w:ind w:left="2200" w:hanging="338"/>
        <w:spacing w:after="0"/>
        <w:tabs>
          <w:tab w:leader="none" w:pos="22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broker-dealers may agree with the selling stockholders to sell a specified number of such shares at a stipulated price per share;</w:t>
      </w:r>
    </w:p>
    <w:p>
      <w:pPr>
        <w:spacing w:after="0" w:line="95" w:lineRule="exact"/>
        <w:rPr>
          <w:rFonts w:ascii="Times New Roman" w:cs="Times New Roman" w:eastAsia="Times New Roman" w:hAnsi="Times New Roman"/>
          <w:sz w:val="14"/>
          <w:szCs w:val="14"/>
          <w:color w:val="auto"/>
        </w:rPr>
      </w:pPr>
    </w:p>
    <w:p>
      <w:pPr>
        <w:ind w:left="2200" w:hanging="338"/>
        <w:spacing w:after="0"/>
        <w:tabs>
          <w:tab w:leader="none" w:pos="22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combination of any such methods of sale; and</w:t>
      </w:r>
    </w:p>
    <w:p>
      <w:pPr>
        <w:spacing w:after="0" w:line="95" w:lineRule="exact"/>
        <w:rPr>
          <w:rFonts w:ascii="Times New Roman" w:cs="Times New Roman" w:eastAsia="Times New Roman" w:hAnsi="Times New Roman"/>
          <w:sz w:val="14"/>
          <w:szCs w:val="14"/>
          <w:color w:val="auto"/>
        </w:rPr>
      </w:pPr>
    </w:p>
    <w:p>
      <w:pPr>
        <w:ind w:left="2200" w:hanging="338"/>
        <w:spacing w:after="0"/>
        <w:tabs>
          <w:tab w:leader="none" w:pos="22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method permitted by applicable law.</w:t>
      </w:r>
    </w:p>
    <w:p>
      <w:pPr>
        <w:spacing w:after="0" w:line="168" w:lineRule="exact"/>
        <w:rPr>
          <w:sz w:val="20"/>
          <w:szCs w:val="20"/>
          <w:color w:val="auto"/>
        </w:rPr>
      </w:pPr>
    </w:p>
    <w:p>
      <w:pPr>
        <w:jc w:val="both"/>
        <w:ind w:left="1460" w:right="559" w:firstLine="335"/>
        <w:spacing w:after="0" w:line="252" w:lineRule="auto"/>
        <w:rPr>
          <w:sz w:val="20"/>
          <w:szCs w:val="20"/>
          <w:color w:val="auto"/>
        </w:rPr>
      </w:pPr>
      <w:r>
        <w:rPr>
          <w:rFonts w:ascii="Times New Roman" w:cs="Times New Roman" w:eastAsia="Times New Roman" w:hAnsi="Times New Roman"/>
          <w:sz w:val="14"/>
          <w:szCs w:val="14"/>
          <w:color w:val="auto"/>
        </w:rPr>
        <w:t>The aggregate proceeds to the selling stockholders from the sale of the Common Stock offered by the selling stockholders will be the purchase price of the Common Stock less discounts or commissions, if any. Each of the selling stockholders reserves the right to accept and, together with its agents from time to time, to reject, in whole or in part, any proposed purchase of Common Stock to be made directly or through agents. We will not receive any of the proceeds from this offering.</w:t>
      </w:r>
    </w:p>
    <w:p>
      <w:pPr>
        <w:spacing w:after="0" w:line="146" w:lineRule="exact"/>
        <w:rPr>
          <w:sz w:val="20"/>
          <w:szCs w:val="20"/>
          <w:color w:val="auto"/>
        </w:rPr>
      </w:pPr>
    </w:p>
    <w:p>
      <w:pPr>
        <w:ind w:left="1460" w:right="499" w:firstLine="335"/>
        <w:spacing w:after="0" w:line="267" w:lineRule="auto"/>
        <w:rPr>
          <w:sz w:val="20"/>
          <w:szCs w:val="20"/>
          <w:color w:val="auto"/>
        </w:rPr>
      </w:pPr>
      <w:r>
        <w:rPr>
          <w:rFonts w:ascii="Times New Roman" w:cs="Times New Roman" w:eastAsia="Times New Roman" w:hAnsi="Times New Roman"/>
          <w:sz w:val="14"/>
          <w:szCs w:val="14"/>
          <w:color w:val="auto"/>
        </w:rPr>
        <w:t>The selling stockholders also may resell all or a portion of the shares in open market transactions in reliance upon Rule 144 under the Securities Act (“Rule 144”), provided that the selling stockholders meet the criteria and conform to the requirements of that rule.</w:t>
      </w:r>
    </w:p>
    <w:p>
      <w:pPr>
        <w:spacing w:after="0" w:line="135" w:lineRule="exact"/>
        <w:rPr>
          <w:sz w:val="20"/>
          <w:szCs w:val="20"/>
          <w:color w:val="auto"/>
        </w:rPr>
      </w:pPr>
    </w:p>
    <w:p>
      <w:pPr>
        <w:ind w:left="1460" w:right="319" w:firstLine="335"/>
        <w:spacing w:after="0" w:line="252" w:lineRule="auto"/>
        <w:rPr>
          <w:sz w:val="20"/>
          <w:szCs w:val="20"/>
          <w:color w:val="auto"/>
        </w:rPr>
      </w:pPr>
      <w:r>
        <w:rPr>
          <w:rFonts w:ascii="Times New Roman" w:cs="Times New Roman" w:eastAsia="Times New Roman" w:hAnsi="Times New Roman"/>
          <w:sz w:val="14"/>
          <w:szCs w:val="14"/>
          <w:color w:val="auto"/>
        </w:rPr>
        <w:t>To the extent required, the shares of our Common Stock to be sold, the names of the selling stockholders, the respective purchase prices and public offering prices, the names of any agents or dealers, and any applicable commissions or discounts with respect to a particular offer will be set forth in an accompanying prospectus supplement or, if appropriate, a post-effective amendment to the registration statement that includes this prospectus supplement.</w:t>
      </w:r>
    </w:p>
    <w:p>
      <w:pPr>
        <w:spacing w:after="0" w:line="146" w:lineRule="exact"/>
        <w:rPr>
          <w:sz w:val="20"/>
          <w:szCs w:val="20"/>
          <w:color w:val="auto"/>
        </w:rPr>
      </w:pPr>
    </w:p>
    <w:p>
      <w:pPr>
        <w:ind w:left="1460" w:right="339" w:firstLine="335"/>
        <w:spacing w:after="0" w:line="256" w:lineRule="auto"/>
        <w:rPr>
          <w:sz w:val="20"/>
          <w:szCs w:val="20"/>
          <w:color w:val="auto"/>
        </w:rPr>
      </w:pPr>
      <w:r>
        <w:rPr>
          <w:rFonts w:ascii="Times New Roman" w:cs="Times New Roman" w:eastAsia="Times New Roman" w:hAnsi="Times New Roman"/>
          <w:sz w:val="14"/>
          <w:szCs w:val="14"/>
          <w:color w:val="auto"/>
        </w:rPr>
        <w:t>In order to comply with the securities laws of some states, if applicable, the Common Stock may be sold in these jurisdictions only through registered or licensed brokers or dealers. In addition, in some states the Common Stock may not be sold unless it has been registered or qualified for sale or an exemption from registration or qualification requirements is available and is complied with.</w:t>
      </w:r>
    </w:p>
    <w:p>
      <w:pPr>
        <w:spacing w:after="0" w:line="143" w:lineRule="exact"/>
        <w:rPr>
          <w:sz w:val="20"/>
          <w:szCs w:val="20"/>
          <w:color w:val="auto"/>
        </w:rPr>
      </w:pPr>
    </w:p>
    <w:p>
      <w:pPr>
        <w:jc w:val="both"/>
        <w:ind w:left="1460" w:right="839" w:firstLine="335"/>
        <w:spacing w:after="0" w:line="256" w:lineRule="auto"/>
        <w:rPr>
          <w:sz w:val="20"/>
          <w:szCs w:val="20"/>
          <w:color w:val="auto"/>
        </w:rPr>
      </w:pPr>
      <w:r>
        <w:rPr>
          <w:rFonts w:ascii="Times New Roman" w:cs="Times New Roman" w:eastAsia="Times New Roman" w:hAnsi="Times New Roman"/>
          <w:sz w:val="14"/>
          <w:szCs w:val="14"/>
          <w:color w:val="auto"/>
        </w:rPr>
        <w:t>We have advised the selling stockholders that the anti-manipulation rules of Regulation M under the Securities Exchange Act of 1934, as amended, may apply to sales of shares in the market and to the activities of the selling stockholders and their affiliates. In addition, to the extent applicable, we will make copies of this</w:t>
      </w:r>
    </w:p>
    <w:p>
      <w:pPr>
        <w:spacing w:after="0" w:line="91"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S-16</w:t>
      </w:r>
    </w:p>
    <w:p>
      <w:pPr>
        <w:sectPr>
          <w:pgSz w:w="11900" w:h="16838" w:orient="portrait"/>
          <w:cols w:equalWidth="0" w:num="1">
            <w:col w:w="10159"/>
          </w:cols>
          <w:pgMar w:left="300" w:top="380" w:right="1440"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8">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44" w:lineRule="exact"/>
        <w:rPr>
          <w:sz w:val="20"/>
          <w:szCs w:val="20"/>
          <w:color w:val="auto"/>
        </w:rPr>
      </w:pPr>
    </w:p>
    <w:p>
      <w:pPr>
        <w:ind w:left="1460" w:right="419"/>
        <w:spacing w:after="0" w:line="256" w:lineRule="auto"/>
        <w:rPr>
          <w:sz w:val="20"/>
          <w:szCs w:val="20"/>
          <w:color w:val="auto"/>
        </w:rPr>
      </w:pPr>
      <w:r>
        <w:rPr>
          <w:rFonts w:ascii="Times New Roman" w:cs="Times New Roman" w:eastAsia="Times New Roman" w:hAnsi="Times New Roman"/>
          <w:sz w:val="14"/>
          <w:szCs w:val="14"/>
          <w:color w:val="auto"/>
        </w:rPr>
        <w:t>prospectus supplement (as it may be supplemented or amended from time to time) available to the selling stockholders for the purpose of satisfying the prospectus delivery requirements of the Securities Act. The selling stockholders may indemnify any broker-dealer that participates in transactions involving the sale of the shares against certain liabilities, including liabilities arising under the Securities Act.</w:t>
      </w:r>
    </w:p>
    <w:p>
      <w:pPr>
        <w:spacing w:after="0" w:line="143" w:lineRule="exact"/>
        <w:rPr>
          <w:sz w:val="20"/>
          <w:szCs w:val="20"/>
          <w:color w:val="auto"/>
        </w:rPr>
      </w:pPr>
    </w:p>
    <w:p>
      <w:pPr>
        <w:ind w:left="1460" w:right="599" w:firstLine="335"/>
        <w:spacing w:after="0" w:line="267" w:lineRule="auto"/>
        <w:rPr>
          <w:sz w:val="20"/>
          <w:szCs w:val="20"/>
          <w:color w:val="auto"/>
        </w:rPr>
      </w:pPr>
      <w:r>
        <w:rPr>
          <w:rFonts w:ascii="Times New Roman" w:cs="Times New Roman" w:eastAsia="Times New Roman" w:hAnsi="Times New Roman"/>
          <w:sz w:val="14"/>
          <w:szCs w:val="14"/>
          <w:color w:val="auto"/>
        </w:rPr>
        <w:t>We have agreed to indemnify the selling stockholders against liabilities, including liabilities under the Securities Act and state securities laws, relating to the registration of the shares offered by this prospectus.</w:t>
      </w:r>
    </w:p>
    <w:p>
      <w:pPr>
        <w:spacing w:after="0" w:line="135" w:lineRule="exact"/>
        <w:rPr>
          <w:sz w:val="20"/>
          <w:szCs w:val="20"/>
          <w:color w:val="auto"/>
        </w:rPr>
      </w:pPr>
    </w:p>
    <w:p>
      <w:pPr>
        <w:ind w:left="1460" w:right="399" w:firstLine="335"/>
        <w:spacing w:after="0" w:line="249" w:lineRule="auto"/>
        <w:rPr>
          <w:sz w:val="20"/>
          <w:szCs w:val="20"/>
          <w:color w:val="auto"/>
        </w:rPr>
      </w:pPr>
      <w:r>
        <w:rPr>
          <w:rFonts w:ascii="Times New Roman" w:cs="Times New Roman" w:eastAsia="Times New Roman" w:hAnsi="Times New Roman"/>
          <w:sz w:val="14"/>
          <w:szCs w:val="14"/>
          <w:color w:val="auto"/>
        </w:rPr>
        <w:t>We have agreed with the selling stockholders to use reasonable efforts to cause the registration statement of which this prospectus supplement constitutes a part to become effective and to remain continuously effective until the earlier of (1) such time as all of the shares covered by this prospectus supplement have been disposed of pursuant to and in accordance with such registration statement, (2) the date such shares have been sold or disposed of pursuant to Rule 144, (3) the date such shares are otherwise sold or transferred (other than in a transaction under clause (1) and (2)) by a person in a transaction in which such person’s rights under the Registration Rights Agreement are not assigned, (4) the date such shares are no longer outstanding or (5) the date on which all of the shares may be sold without restriction pursuant to Rule 144.</w:t>
      </w:r>
    </w:p>
    <w:p>
      <w:pPr>
        <w:spacing w:after="0" w:line="149" w:lineRule="exact"/>
        <w:rPr>
          <w:sz w:val="20"/>
          <w:szCs w:val="20"/>
          <w:color w:val="auto"/>
        </w:rPr>
      </w:pPr>
    </w:p>
    <w:p>
      <w:pPr>
        <w:ind w:left="1460" w:right="399" w:firstLine="335"/>
        <w:spacing w:after="0" w:line="256" w:lineRule="auto"/>
        <w:rPr>
          <w:sz w:val="20"/>
          <w:szCs w:val="20"/>
          <w:color w:val="auto"/>
        </w:rPr>
      </w:pPr>
      <w:r>
        <w:rPr>
          <w:rFonts w:ascii="Times New Roman" w:cs="Times New Roman" w:eastAsia="Times New Roman" w:hAnsi="Times New Roman"/>
          <w:sz w:val="14"/>
          <w:szCs w:val="14"/>
          <w:color w:val="auto"/>
        </w:rPr>
        <w:t>We have agreed to bear certain other costs, fees and expenses incurred in connection with the offering of Common Stock pursuant to this prospectus supplement. However, we do not have any obligation to pay any underwriting fees, discounts or commissions attributable to the sale of such shares Common Stock, or any fees and expenses of any broker-dealer or other financial intermediary engaged by the selling stockholders.</w:t>
      </w:r>
    </w:p>
    <w:p>
      <w:pPr>
        <w:spacing w:after="0" w:line="91"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S-17</w:t>
      </w:r>
    </w:p>
    <w:p>
      <w:pPr>
        <w:sectPr>
          <w:pgSz w:w="11900" w:h="16838" w:orient="portrait"/>
          <w:cols w:equalWidth="0" w:num="1">
            <w:col w:w="10159"/>
          </w:cols>
          <w:pgMar w:left="300" w:top="380" w:right="1440"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9">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4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172" w:lineRule="exact"/>
        <w:rPr>
          <w:sz w:val="20"/>
          <w:szCs w:val="20"/>
          <w:color w:val="auto"/>
        </w:rPr>
      </w:pPr>
    </w:p>
    <w:p>
      <w:pPr>
        <w:ind w:left="1460" w:right="599" w:firstLine="335"/>
        <w:spacing w:after="0" w:line="250" w:lineRule="auto"/>
        <w:rPr>
          <w:sz w:val="20"/>
          <w:szCs w:val="20"/>
          <w:color w:val="auto"/>
        </w:rPr>
      </w:pPr>
      <w:r>
        <w:rPr>
          <w:rFonts w:ascii="Times New Roman" w:cs="Times New Roman" w:eastAsia="Times New Roman" w:hAnsi="Times New Roman"/>
          <w:sz w:val="14"/>
          <w:szCs w:val="14"/>
          <w:color w:val="auto"/>
        </w:rPr>
        <w:t>The financial statements of Southwest Gas Holdings, Inc. and management’s assessment of the effectiveness of internal control over financial reporting (which is included in Management’s Report on Internal Control over Financial Reporting) incorporated in this prospectus supplement by reference to the Annual Report on Form 10-K for the year ended December 31, 2024 have been so incorporated in reliance on the report of PricewaterhouseCoopers LLP, an independent registered public accounting firm, given on the authority of said firm as experts in auditing and accounting.</w:t>
      </w:r>
    </w:p>
    <w:p>
      <w:pPr>
        <w:spacing w:after="0" w:line="148"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4"/>
          <w:szCs w:val="14"/>
          <w:color w:val="auto"/>
        </w:rPr>
        <w:t>The financial statements of Southwest Gas Corporation incorporated in this prospectus supplement by reference to the Annual Report on</w:t>
      </w:r>
    </w:p>
    <w:p>
      <w:pPr>
        <w:spacing w:after="0" w:line="15"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3"/>
          <w:szCs w:val="13"/>
          <w:color w:val="auto"/>
        </w:rPr>
        <w:t>Form 10-K for the year ended December 31, 2024 have been so incorporated in reliance on the report of PricewaterhouseCoopers LLP, an independent</w:t>
      </w:r>
    </w:p>
    <w:p>
      <w:pPr>
        <w:spacing w:after="0" w:line="15"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color w:val="auto"/>
        </w:rPr>
        <w:t>registered public accounting firm, given on the authority of said firm as experts in auditing and accounting.</w:t>
      </w:r>
    </w:p>
    <w:p>
      <w:pPr>
        <w:spacing w:after="0" w:line="317"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4"/>
          <w:szCs w:val="14"/>
          <w:b w:val="1"/>
          <w:bCs w:val="1"/>
          <w:color w:val="auto"/>
        </w:rPr>
        <w:t>LEGAL MATTERS</w:t>
      </w:r>
    </w:p>
    <w:p>
      <w:pPr>
        <w:spacing w:after="0" w:line="172"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4"/>
          <w:szCs w:val="14"/>
          <w:color w:val="auto"/>
        </w:rPr>
        <w:t>The validity of the securities offered by means of this prospectus supplement will be passed upon for us by Morrison &amp; Foerster LLP.</w:t>
      </w:r>
    </w:p>
    <w:p>
      <w:pPr>
        <w:spacing w:after="0" w:line="116"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S-18</w:t>
      </w:r>
    </w:p>
    <w:p>
      <w:pPr>
        <w:sectPr>
          <w:pgSz w:w="11900" w:h="16838" w:orient="portrait"/>
          <w:cols w:equalWidth="0" w:num="1">
            <w:col w:w="10159"/>
          </w:cols>
          <w:pgMar w:left="300" w:top="380" w:right="1440"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0">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40"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2872740</wp:posOffset>
            </wp:positionH>
            <wp:positionV relativeFrom="paragraph">
              <wp:posOffset>130175</wp:posOffset>
            </wp:positionV>
            <wp:extent cx="1422400" cy="7505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1">
                      <a:extLst>
                        <a:ext uri="{28A0092B-C50C-407E-A947-70E740481C1C}"/>
                      </a:extLst>
                    </a:blip>
                    <a:srcRect/>
                    <a:stretch>
                      <a:fillRect/>
                    </a:stretch>
                  </pic:blipFill>
                  <pic:spPr bwMode="auto">
                    <a:xfrm>
                      <a:off x="0" y="0"/>
                      <a:ext cx="1422400" cy="750570"/>
                    </a:xfrm>
                    <a:prstGeom prst="rect">
                      <a:avLst/>
                    </a:prstGeom>
                    <a:noFill/>
                  </pic:spPr>
                </pic:pic>
              </a:graphicData>
            </a:graphic>
          </wp:anchor>
        </w:drawing>
        <w:drawing>
          <wp:anchor simplePos="0" relativeHeight="251657728" behindDoc="1" locked="0" layoutInCell="0" allowOverlap="1">
            <wp:simplePos x="0" y="0"/>
            <wp:positionH relativeFrom="column">
              <wp:posOffset>2331085</wp:posOffset>
            </wp:positionH>
            <wp:positionV relativeFrom="paragraph">
              <wp:posOffset>998220</wp:posOffset>
            </wp:positionV>
            <wp:extent cx="2505710" cy="3848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2">
                      <a:extLst>
                        <a:ext uri="{28A0092B-C50C-407E-A947-70E740481C1C}"/>
                      </a:extLst>
                    </a:blip>
                    <a:srcRect/>
                    <a:stretch>
                      <a:fillRect/>
                    </a:stretch>
                  </pic:blipFill>
                  <pic:spPr bwMode="auto">
                    <a:xfrm>
                      <a:off x="0" y="0"/>
                      <a:ext cx="2505710" cy="384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33"/>
          <w:szCs w:val="33"/>
          <w:b w:val="1"/>
          <w:bCs w:val="1"/>
          <w:color w:val="auto"/>
        </w:rPr>
        <w:t>Southwest Gas Holdings, Inc.</w:t>
      </w:r>
    </w:p>
    <w:p>
      <w:pPr>
        <w:spacing w:after="0" w:line="45"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33"/>
          <w:szCs w:val="33"/>
          <w:b w:val="1"/>
          <w:bCs w:val="1"/>
          <w:color w:val="auto"/>
        </w:rPr>
        <w:t>Southwest Gas Corporation</w:t>
      </w:r>
    </w:p>
    <w:p>
      <w:pPr>
        <w:spacing w:after="0" w:line="14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9"/>
          <w:szCs w:val="19"/>
          <w:b w:val="1"/>
          <w:bCs w:val="1"/>
          <w:color w:val="auto"/>
        </w:rPr>
        <w:t>Common Stock</w:t>
      </w:r>
    </w:p>
    <w:p>
      <w:pPr>
        <w:spacing w:after="0" w:line="32"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9"/>
          <w:szCs w:val="19"/>
          <w:b w:val="1"/>
          <w:bCs w:val="1"/>
          <w:color w:val="auto"/>
        </w:rPr>
        <w:t>Preferred Stock</w:t>
      </w:r>
    </w:p>
    <w:p>
      <w:pPr>
        <w:spacing w:after="0" w:line="8"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9"/>
          <w:szCs w:val="19"/>
          <w:b w:val="1"/>
          <w:bCs w:val="1"/>
          <w:color w:val="auto"/>
        </w:rPr>
        <w:t>Debt Securities</w:t>
      </w:r>
    </w:p>
    <w:p>
      <w:pPr>
        <w:spacing w:after="0" w:line="8"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9"/>
          <w:szCs w:val="19"/>
          <w:b w:val="1"/>
          <w:bCs w:val="1"/>
          <w:color w:val="auto"/>
        </w:rPr>
        <w:t>Guarantees of Debt Securities</w:t>
      </w:r>
    </w:p>
    <w:p>
      <w:pPr>
        <w:spacing w:after="0" w:line="8"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9"/>
          <w:szCs w:val="19"/>
          <w:b w:val="1"/>
          <w:bCs w:val="1"/>
          <w:color w:val="auto"/>
        </w:rPr>
        <w:t>Depositary Shares</w:t>
      </w:r>
    </w:p>
    <w:p>
      <w:pPr>
        <w:spacing w:after="0" w:line="8"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9"/>
          <w:szCs w:val="19"/>
          <w:b w:val="1"/>
          <w:bCs w:val="1"/>
          <w:color w:val="auto"/>
        </w:rPr>
        <w:t>Warrants</w:t>
      </w:r>
    </w:p>
    <w:p>
      <w:pPr>
        <w:spacing w:after="0" w:line="8"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9"/>
          <w:szCs w:val="19"/>
          <w:b w:val="1"/>
          <w:bCs w:val="1"/>
          <w:color w:val="auto"/>
        </w:rPr>
        <w:t>Units</w:t>
      </w:r>
    </w:p>
    <w:p>
      <w:pPr>
        <w:spacing w:after="0" w:line="8"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9"/>
          <w:szCs w:val="19"/>
          <w:b w:val="1"/>
          <w:bCs w:val="1"/>
          <w:color w:val="auto"/>
        </w:rPr>
        <w:t>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3022600</wp:posOffset>
            </wp:positionH>
            <wp:positionV relativeFrom="paragraph">
              <wp:posOffset>113030</wp:posOffset>
            </wp:positionV>
            <wp:extent cx="1122680" cy="63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3">
                      <a:extLst>
                        <a:ext uri="{28A0092B-C50C-407E-A947-70E740481C1C}"/>
                      </a:extLst>
                    </a:blip>
                    <a:srcRect/>
                    <a:stretch>
                      <a:fillRect/>
                    </a:stretch>
                  </pic:blipFill>
                  <pic:spPr bwMode="auto">
                    <a:xfrm>
                      <a:off x="0" y="0"/>
                      <a:ext cx="1122680" cy="6350"/>
                    </a:xfrm>
                    <a:prstGeom prst="rect">
                      <a:avLst/>
                    </a:prstGeom>
                    <a:noFill/>
                  </pic:spPr>
                </pic:pic>
              </a:graphicData>
            </a:graphic>
          </wp:anchor>
        </w:drawing>
      </w:r>
    </w:p>
    <w:p>
      <w:pPr>
        <w:spacing w:after="0" w:line="234" w:lineRule="exact"/>
        <w:rPr>
          <w:sz w:val="20"/>
          <w:szCs w:val="20"/>
          <w:color w:val="auto"/>
        </w:rPr>
      </w:pPr>
    </w:p>
    <w:p>
      <w:pPr>
        <w:ind w:left="1460" w:right="339" w:firstLine="335"/>
        <w:spacing w:after="0" w:line="243" w:lineRule="auto"/>
        <w:rPr>
          <w:sz w:val="20"/>
          <w:szCs w:val="20"/>
          <w:color w:val="auto"/>
        </w:rPr>
      </w:pPr>
      <w:r>
        <w:rPr>
          <w:rFonts w:ascii="Times New Roman" w:cs="Times New Roman" w:eastAsia="Times New Roman" w:hAnsi="Times New Roman"/>
          <w:sz w:val="11"/>
          <w:szCs w:val="11"/>
          <w:color w:val="auto"/>
        </w:rPr>
        <w:t>Southwest Gas Holdings, Inc. may offer and sell any combination of the following securities from time to time in amounts, at prices and on terms that will be determined at the time of any such offering:</w:t>
      </w:r>
    </w:p>
    <w:p>
      <w:pPr>
        <w:spacing w:after="0" w:line="32" w:lineRule="exact"/>
        <w:rPr>
          <w:sz w:val="20"/>
          <w:szCs w:val="20"/>
          <w:color w:val="auto"/>
        </w:rPr>
      </w:pPr>
    </w:p>
    <w:p>
      <w:pPr>
        <w:ind w:left="2020" w:hanging="240"/>
        <w:spacing w:after="0"/>
        <w:tabs>
          <w:tab w:leader="none" w:pos="2020" w:val="left"/>
        </w:tabs>
        <w:numPr>
          <w:ilvl w:val="0"/>
          <w:numId w:val="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common stock;</w:t>
      </w:r>
    </w:p>
    <w:p>
      <w:pPr>
        <w:spacing w:after="0" w:line="48" w:lineRule="exact"/>
        <w:rPr>
          <w:rFonts w:ascii="Times New Roman" w:cs="Times New Roman" w:eastAsia="Times New Roman" w:hAnsi="Times New Roman"/>
          <w:sz w:val="11"/>
          <w:szCs w:val="11"/>
          <w:color w:val="auto"/>
        </w:rPr>
      </w:pPr>
    </w:p>
    <w:p>
      <w:pPr>
        <w:ind w:left="2020" w:hanging="240"/>
        <w:spacing w:after="0"/>
        <w:tabs>
          <w:tab w:leader="none" w:pos="2020" w:val="left"/>
        </w:tabs>
        <w:numPr>
          <w:ilvl w:val="0"/>
          <w:numId w:val="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preferred stock;</w:t>
      </w:r>
    </w:p>
    <w:p>
      <w:pPr>
        <w:spacing w:after="0" w:line="48" w:lineRule="exact"/>
        <w:rPr>
          <w:rFonts w:ascii="Times New Roman" w:cs="Times New Roman" w:eastAsia="Times New Roman" w:hAnsi="Times New Roman"/>
          <w:sz w:val="11"/>
          <w:szCs w:val="11"/>
          <w:color w:val="auto"/>
        </w:rPr>
      </w:pPr>
    </w:p>
    <w:p>
      <w:pPr>
        <w:ind w:left="2020" w:hanging="240"/>
        <w:spacing w:after="0"/>
        <w:tabs>
          <w:tab w:leader="none" w:pos="2020" w:val="left"/>
        </w:tabs>
        <w:numPr>
          <w:ilvl w:val="0"/>
          <w:numId w:val="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debt securities, which may or may not be guaranteed by one or more of its directly or indirectly wholly owned subsidiaries if indicated in the relevant prospectus supplement;</w:t>
      </w:r>
    </w:p>
    <w:p>
      <w:pPr>
        <w:spacing w:after="0" w:line="48" w:lineRule="exact"/>
        <w:rPr>
          <w:rFonts w:ascii="Times New Roman" w:cs="Times New Roman" w:eastAsia="Times New Roman" w:hAnsi="Times New Roman"/>
          <w:sz w:val="11"/>
          <w:szCs w:val="11"/>
          <w:color w:val="auto"/>
        </w:rPr>
      </w:pPr>
    </w:p>
    <w:p>
      <w:pPr>
        <w:ind w:left="2020" w:hanging="240"/>
        <w:spacing w:after="0"/>
        <w:tabs>
          <w:tab w:leader="none" w:pos="2020" w:val="left"/>
        </w:tabs>
        <w:numPr>
          <w:ilvl w:val="0"/>
          <w:numId w:val="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guarantees of debt securities issued by Southwest Gas Corporation;</w:t>
      </w:r>
    </w:p>
    <w:p>
      <w:pPr>
        <w:spacing w:after="0" w:line="48" w:lineRule="exact"/>
        <w:rPr>
          <w:rFonts w:ascii="Times New Roman" w:cs="Times New Roman" w:eastAsia="Times New Roman" w:hAnsi="Times New Roman"/>
          <w:sz w:val="11"/>
          <w:szCs w:val="11"/>
          <w:color w:val="auto"/>
        </w:rPr>
      </w:pPr>
    </w:p>
    <w:p>
      <w:pPr>
        <w:ind w:left="2020" w:hanging="240"/>
        <w:spacing w:after="0"/>
        <w:tabs>
          <w:tab w:leader="none" w:pos="2020" w:val="left"/>
        </w:tabs>
        <w:numPr>
          <w:ilvl w:val="0"/>
          <w:numId w:val="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depositary shares;</w:t>
      </w:r>
    </w:p>
    <w:p>
      <w:pPr>
        <w:spacing w:after="0" w:line="48" w:lineRule="exact"/>
        <w:rPr>
          <w:rFonts w:ascii="Times New Roman" w:cs="Times New Roman" w:eastAsia="Times New Roman" w:hAnsi="Times New Roman"/>
          <w:sz w:val="11"/>
          <w:szCs w:val="11"/>
          <w:color w:val="auto"/>
        </w:rPr>
      </w:pPr>
    </w:p>
    <w:p>
      <w:pPr>
        <w:ind w:left="2020" w:right="499" w:hanging="240"/>
        <w:spacing w:after="0" w:line="243" w:lineRule="auto"/>
        <w:tabs>
          <w:tab w:leader="none" w:pos="2020" w:val="left"/>
        </w:tabs>
        <w:numPr>
          <w:ilvl w:val="0"/>
          <w:numId w:val="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warrants to purchase common stock, preferred stock or depositary shares issued by Southwest Gas Holdings, Inc. or debt securities issued by Southwest Gas Holdings, Inc. or Southwest Gas Corporation;</w:t>
      </w:r>
    </w:p>
    <w:p>
      <w:pPr>
        <w:spacing w:after="0" w:line="31" w:lineRule="exact"/>
        <w:rPr>
          <w:rFonts w:ascii="Times New Roman" w:cs="Times New Roman" w:eastAsia="Times New Roman" w:hAnsi="Times New Roman"/>
          <w:sz w:val="11"/>
          <w:szCs w:val="11"/>
          <w:color w:val="auto"/>
        </w:rPr>
      </w:pPr>
    </w:p>
    <w:p>
      <w:pPr>
        <w:ind w:left="2020" w:hanging="240"/>
        <w:spacing w:after="0"/>
        <w:tabs>
          <w:tab w:leader="none" w:pos="2020" w:val="left"/>
        </w:tabs>
        <w:numPr>
          <w:ilvl w:val="0"/>
          <w:numId w:val="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units; and</w:t>
      </w:r>
    </w:p>
    <w:p>
      <w:pPr>
        <w:spacing w:after="0" w:line="48" w:lineRule="exact"/>
        <w:rPr>
          <w:rFonts w:ascii="Times New Roman" w:cs="Times New Roman" w:eastAsia="Times New Roman" w:hAnsi="Times New Roman"/>
          <w:sz w:val="11"/>
          <w:szCs w:val="11"/>
          <w:color w:val="auto"/>
        </w:rPr>
      </w:pPr>
    </w:p>
    <w:p>
      <w:pPr>
        <w:ind w:left="2020" w:hanging="240"/>
        <w:spacing w:after="0"/>
        <w:tabs>
          <w:tab w:leader="none" w:pos="2020" w:val="left"/>
        </w:tabs>
        <w:numPr>
          <w:ilvl w:val="0"/>
          <w:numId w:val="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rights.</w:t>
      </w:r>
    </w:p>
    <w:p>
      <w:pPr>
        <w:spacing w:after="0" w:line="38" w:lineRule="exact"/>
        <w:rPr>
          <w:sz w:val="20"/>
          <w:szCs w:val="20"/>
          <w:color w:val="auto"/>
        </w:rPr>
      </w:pPr>
    </w:p>
    <w:p>
      <w:pPr>
        <w:ind w:left="1460" w:right="439" w:firstLine="335"/>
        <w:spacing w:after="0" w:line="243" w:lineRule="auto"/>
        <w:rPr>
          <w:sz w:val="20"/>
          <w:szCs w:val="20"/>
          <w:color w:val="auto"/>
        </w:rPr>
      </w:pPr>
      <w:r>
        <w:rPr>
          <w:rFonts w:ascii="Times New Roman" w:cs="Times New Roman" w:eastAsia="Times New Roman" w:hAnsi="Times New Roman"/>
          <w:sz w:val="11"/>
          <w:szCs w:val="11"/>
          <w:color w:val="auto"/>
        </w:rPr>
        <w:t>Southwest Gas Corporation may offer and sell any combination of the following securities from time to time in amounts, at prices and on terms that will be determined at the time of any such offering:</w:t>
      </w:r>
    </w:p>
    <w:p>
      <w:pPr>
        <w:spacing w:after="0" w:line="32" w:lineRule="exact"/>
        <w:rPr>
          <w:sz w:val="20"/>
          <w:szCs w:val="20"/>
          <w:color w:val="auto"/>
        </w:rPr>
      </w:pPr>
    </w:p>
    <w:p>
      <w:pPr>
        <w:ind w:left="2020" w:right="619" w:hanging="240"/>
        <w:spacing w:after="0" w:line="243" w:lineRule="auto"/>
        <w:tabs>
          <w:tab w:leader="none" w:pos="2020" w:val="left"/>
        </w:tabs>
        <w:numPr>
          <w:ilvl w:val="0"/>
          <w:numId w:val="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debt securities, which may or may not be guaranteed by Southwest Gas Holdings, Inc. and may or may not be guaranteed by one or more of its directly or indirectly wholly owned subsidiaries if indicated in the relevant prospectus supplement; and</w:t>
      </w:r>
    </w:p>
    <w:p>
      <w:pPr>
        <w:spacing w:after="0" w:line="31" w:lineRule="exact"/>
        <w:rPr>
          <w:rFonts w:ascii="Times New Roman" w:cs="Times New Roman" w:eastAsia="Times New Roman" w:hAnsi="Times New Roman"/>
          <w:sz w:val="11"/>
          <w:szCs w:val="11"/>
          <w:color w:val="auto"/>
        </w:rPr>
      </w:pPr>
    </w:p>
    <w:p>
      <w:pPr>
        <w:ind w:left="2020" w:right="759" w:hanging="240"/>
        <w:spacing w:after="0" w:line="243" w:lineRule="auto"/>
        <w:tabs>
          <w:tab w:leader="none" w:pos="2020" w:val="left"/>
        </w:tabs>
        <w:numPr>
          <w:ilvl w:val="0"/>
          <w:numId w:val="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guarantees of debt securities issued by Southwest Gas Holdings, Inc. or by one or more of its directly or indirectly wholly owned subsidiaries if indicated in the relevant prospectus supplement.</w:t>
      </w:r>
    </w:p>
    <w:p>
      <w:pPr>
        <w:spacing w:after="0" w:line="52" w:lineRule="exact"/>
        <w:rPr>
          <w:sz w:val="20"/>
          <w:szCs w:val="20"/>
          <w:color w:val="auto"/>
        </w:rPr>
      </w:pPr>
    </w:p>
    <w:p>
      <w:pPr>
        <w:jc w:val="both"/>
        <w:ind w:left="1460" w:right="739" w:firstLine="335"/>
        <w:spacing w:after="0" w:line="232" w:lineRule="auto"/>
        <w:rPr>
          <w:sz w:val="20"/>
          <w:szCs w:val="20"/>
          <w:color w:val="auto"/>
        </w:rPr>
      </w:pPr>
      <w:r>
        <w:rPr>
          <w:rFonts w:ascii="Times New Roman" w:cs="Times New Roman" w:eastAsia="Times New Roman" w:hAnsi="Times New Roman"/>
          <w:sz w:val="11"/>
          <w:szCs w:val="11"/>
          <w:color w:val="auto"/>
        </w:rPr>
        <w:t>This prospectus describes some of the general terms that may apply to these securities. We will provide the specific terms of these securities, including their offering prices, in prospectus supplements to this prospectus. Any prospectus supplements may also add, update or change information contained in this prospectus. You should carefully read both this prospectus and any prospectus supplement before you invest.</w:t>
      </w:r>
    </w:p>
    <w:p>
      <w:pPr>
        <w:spacing w:after="0" w:line="55" w:lineRule="exact"/>
        <w:rPr>
          <w:sz w:val="20"/>
          <w:szCs w:val="20"/>
          <w:color w:val="auto"/>
        </w:rPr>
      </w:pPr>
    </w:p>
    <w:p>
      <w:pPr>
        <w:ind w:left="1460" w:right="479" w:firstLine="335"/>
        <w:spacing w:after="0" w:line="243" w:lineRule="auto"/>
        <w:rPr>
          <w:sz w:val="20"/>
          <w:szCs w:val="20"/>
          <w:color w:val="auto"/>
        </w:rPr>
      </w:pPr>
      <w:r>
        <w:rPr>
          <w:rFonts w:ascii="Times New Roman" w:cs="Times New Roman" w:eastAsia="Times New Roman" w:hAnsi="Times New Roman"/>
          <w:sz w:val="11"/>
          <w:szCs w:val="11"/>
          <w:color w:val="auto"/>
        </w:rPr>
        <w:t>Southwest Gas Holdings, Inc.’s common stock is listed on the New York Stock Exchange under the symbol “SWX.” On November 27, 2023, the reported last sale price on the New York Stock Exchange for our common stock was $60.04 per share.</w:t>
      </w:r>
    </w:p>
    <w:p>
      <w:pPr>
        <w:spacing w:after="0" w:line="52" w:lineRule="exact"/>
        <w:rPr>
          <w:sz w:val="20"/>
          <w:szCs w:val="20"/>
          <w:color w:val="auto"/>
        </w:rPr>
      </w:pPr>
    </w:p>
    <w:p>
      <w:pPr>
        <w:ind w:left="1460" w:right="539" w:firstLine="335"/>
        <w:spacing w:after="0" w:line="228" w:lineRule="auto"/>
        <w:rPr>
          <w:sz w:val="20"/>
          <w:szCs w:val="20"/>
          <w:color w:val="auto"/>
        </w:rPr>
      </w:pPr>
      <w:r>
        <w:rPr>
          <w:rFonts w:ascii="Times New Roman" w:cs="Times New Roman" w:eastAsia="Times New Roman" w:hAnsi="Times New Roman"/>
          <w:sz w:val="11"/>
          <w:szCs w:val="11"/>
          <w:color w:val="auto"/>
        </w:rPr>
        <w:t>These securities may be offered and sold to or through one or more underwriters, dealers and agents or directly to purchasers or through a combination of these methods, on a continuous or delayed basis. You can find additional information about our plan of distribution for the securities under the heading “Plan of Distribution” beginning on page 25 of this prospectus. We will also describe the plan of distribution for any particular offering of these securities in the prospectus supplement. This prospectus may not be used to sell our securities unless it is accompanied by a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3022600</wp:posOffset>
            </wp:positionH>
            <wp:positionV relativeFrom="paragraph">
              <wp:posOffset>110490</wp:posOffset>
            </wp:positionV>
            <wp:extent cx="1122680" cy="63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4">
                      <a:extLst>
                        <a:ext uri="{28A0092B-C50C-407E-A947-70E740481C1C}"/>
                      </a:extLst>
                    </a:blip>
                    <a:srcRect/>
                    <a:stretch>
                      <a:fillRect/>
                    </a:stretch>
                  </pic:blipFill>
                  <pic:spPr bwMode="auto">
                    <a:xfrm>
                      <a:off x="0" y="0"/>
                      <a:ext cx="1122680" cy="6350"/>
                    </a:xfrm>
                    <a:prstGeom prst="rect">
                      <a:avLst/>
                    </a:prstGeom>
                    <a:noFill/>
                  </pic:spPr>
                </pic:pic>
              </a:graphicData>
            </a:graphic>
          </wp:anchor>
        </w:drawing>
      </w:r>
    </w:p>
    <w:p>
      <w:pPr>
        <w:spacing w:after="0" w:line="233" w:lineRule="exact"/>
        <w:rPr>
          <w:sz w:val="20"/>
          <w:szCs w:val="20"/>
          <w:color w:val="auto"/>
        </w:rPr>
      </w:pPr>
    </w:p>
    <w:p>
      <w:pPr>
        <w:ind w:left="1460" w:right="439" w:firstLine="335"/>
        <w:spacing w:after="0" w:line="309" w:lineRule="auto"/>
        <w:rPr>
          <w:sz w:val="20"/>
          <w:szCs w:val="20"/>
          <w:color w:val="auto"/>
        </w:rPr>
      </w:pPr>
      <w:r>
        <w:rPr>
          <w:rFonts w:ascii="Times New Roman" w:cs="Times New Roman" w:eastAsia="Times New Roman" w:hAnsi="Times New Roman"/>
          <w:sz w:val="12"/>
          <w:szCs w:val="12"/>
          <w:b w:val="1"/>
          <w:bCs w:val="1"/>
          <w:color w:val="auto"/>
        </w:rPr>
        <w:t>Investing in our securities involves risks. You should consider the risk factors described in any accompanying prospectus supplement or any documents we incorporate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3022600</wp:posOffset>
            </wp:positionH>
            <wp:positionV relativeFrom="paragraph">
              <wp:posOffset>89535</wp:posOffset>
            </wp:positionV>
            <wp:extent cx="1122680" cy="63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5">
                      <a:extLst>
                        <a:ext uri="{28A0092B-C50C-407E-A947-70E740481C1C}"/>
                      </a:extLst>
                    </a:blip>
                    <a:srcRect/>
                    <a:stretch>
                      <a:fillRect/>
                    </a:stretch>
                  </pic:blipFill>
                  <pic:spPr bwMode="auto">
                    <a:xfrm>
                      <a:off x="0" y="0"/>
                      <a:ext cx="1122680" cy="6350"/>
                    </a:xfrm>
                    <a:prstGeom prst="rect">
                      <a:avLst/>
                    </a:prstGeom>
                    <a:noFill/>
                  </pic:spPr>
                </pic:pic>
              </a:graphicData>
            </a:graphic>
          </wp:anchor>
        </w:drawing>
      </w:r>
    </w:p>
    <w:p>
      <w:pPr>
        <w:spacing w:after="0" w:line="194" w:lineRule="exact"/>
        <w:rPr>
          <w:sz w:val="20"/>
          <w:szCs w:val="20"/>
          <w:color w:val="auto"/>
        </w:rPr>
      </w:pPr>
    </w:p>
    <w:p>
      <w:pPr>
        <w:ind w:left="1460" w:right="539" w:firstLine="335"/>
        <w:spacing w:after="0" w:line="246" w:lineRule="auto"/>
        <w:rPr>
          <w:sz w:val="20"/>
          <w:szCs w:val="20"/>
          <w:color w:val="auto"/>
        </w:rPr>
      </w:pPr>
      <w:r>
        <w:rPr>
          <w:rFonts w:ascii="Times New Roman" w:cs="Times New Roman" w:eastAsia="Times New Roman" w:hAnsi="Times New Roman"/>
          <w:sz w:val="11"/>
          <w:szCs w:val="11"/>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3022600</wp:posOffset>
            </wp:positionH>
            <wp:positionV relativeFrom="paragraph">
              <wp:posOffset>102235</wp:posOffset>
            </wp:positionV>
            <wp:extent cx="1122680" cy="63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6">
                      <a:extLst>
                        <a:ext uri="{28A0092B-C50C-407E-A947-70E740481C1C}"/>
                      </a:extLst>
                    </a:blip>
                    <a:srcRect/>
                    <a:stretch>
                      <a:fillRect/>
                    </a:stretch>
                  </pic:blipFill>
                  <pic:spPr bwMode="auto">
                    <a:xfrm>
                      <a:off x="0" y="0"/>
                      <a:ext cx="1122680" cy="6350"/>
                    </a:xfrm>
                    <a:prstGeom prst="rect">
                      <a:avLst/>
                    </a:prstGeom>
                    <a:noFill/>
                  </pic:spPr>
                </pic:pic>
              </a:graphicData>
            </a:graphic>
          </wp:anchor>
        </w:drawing>
      </w:r>
    </w:p>
    <w:p>
      <w:pPr>
        <w:spacing w:after="0" w:line="21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1"/>
          <w:szCs w:val="11"/>
          <w:b w:val="1"/>
          <w:bCs w:val="1"/>
          <w:color w:val="auto"/>
        </w:rPr>
        <w:t>The date of this prospectus is November 28, 2023</w:t>
      </w:r>
    </w:p>
    <w:p>
      <w:pPr>
        <w:sectPr>
          <w:pgSz w:w="11900" w:h="16838" w:orient="portrait"/>
          <w:cols w:equalWidth="0" w:num="1">
            <w:col w:w="10159"/>
          </w:cols>
          <w:pgMar w:left="300" w:top="380" w:right="1440"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7">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40"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4"/>
          <w:szCs w:val="14"/>
          <w:b w:val="1"/>
          <w:bCs w:val="1"/>
          <w:color w:val="auto"/>
        </w:rPr>
        <w:t>TABLE OF CONTENTS</w:t>
      </w:r>
    </w:p>
    <w:p>
      <w:pPr>
        <w:spacing w:after="0" w:line="186" w:lineRule="exact"/>
        <w:rPr>
          <w:sz w:val="20"/>
          <w:szCs w:val="20"/>
          <w:color w:val="auto"/>
        </w:rPr>
      </w:pPr>
    </w:p>
    <w:tbl>
      <w:tblPr>
        <w:tblLayout w:type="fixed"/>
        <w:tblInd w:w="1460" w:type="dxa"/>
        <w:tblCellMar>
          <w:top w:w="0" w:type="dxa"/>
          <w:left w:w="0" w:type="dxa"/>
          <w:bottom w:w="0" w:type="dxa"/>
          <w:right w:w="0" w:type="dxa"/>
        </w:tblCellMar>
      </w:tblPr>
      <w:tr>
        <w:trPr>
          <w:trHeight w:val="133"/>
        </w:trPr>
        <w:tc>
          <w:tcPr>
            <w:tcW w:w="5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1"/>
                <w:szCs w:val="11"/>
                <w:b w:val="1"/>
                <w:bCs w:val="1"/>
                <w:color w:val="auto"/>
              </w:rPr>
              <w:t>Caption</w:t>
            </w:r>
          </w:p>
        </w:tc>
        <w:tc>
          <w:tcPr>
            <w:tcW w:w="7520" w:type="dxa"/>
            <w:vAlign w:val="bottom"/>
            <w:gridSpan w:val="16"/>
          </w:tcPr>
          <w:p>
            <w:pPr>
              <w:spacing w:after="0"/>
              <w:rPr>
                <w:sz w:val="11"/>
                <w:szCs w:val="11"/>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97"/>
              </w:rPr>
              <w:t>Page</w:t>
            </w:r>
          </w:p>
        </w:tc>
      </w:tr>
      <w:tr>
        <w:trPr>
          <w:trHeight w:val="206"/>
        </w:trPr>
        <w:tc>
          <w:tcPr>
            <w:tcW w:w="8100" w:type="dxa"/>
            <w:vAlign w:val="bottom"/>
            <w:gridSpan w:val="18"/>
          </w:tcPr>
          <w:p>
            <w:pPr>
              <w:spacing w:after="0"/>
              <w:rPr>
                <w:sz w:val="20"/>
                <w:szCs w:val="20"/>
                <w:color w:val="auto"/>
              </w:rPr>
            </w:pPr>
            <w:r>
              <w:rPr>
                <w:rFonts w:ascii="Times New Roman" w:cs="Times New Roman" w:eastAsia="Times New Roman" w:hAnsi="Times New Roman"/>
                <w:sz w:val="14"/>
                <w:szCs w:val="14"/>
                <w:color w:val="0000EE"/>
              </w:rPr>
              <w:t>ABOUT THIS PROSPECTUS</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44"/>
        </w:trPr>
        <w:tc>
          <w:tcPr>
            <w:tcW w:w="4900" w:type="dxa"/>
            <w:vAlign w:val="bottom"/>
            <w:tcBorders>
              <w:bottom w:val="single" w:sz="8" w:color="0000EE"/>
            </w:tcBorders>
            <w:gridSpan w:val="17"/>
          </w:tcPr>
          <w:p>
            <w:pPr>
              <w:spacing w:after="0" w:line="145" w:lineRule="exact"/>
              <w:rPr>
                <w:sz w:val="20"/>
                <w:szCs w:val="20"/>
                <w:color w:val="auto"/>
              </w:rPr>
            </w:pPr>
            <w:r>
              <w:rPr>
                <w:rFonts w:ascii="Times New Roman" w:cs="Times New Roman" w:eastAsia="Times New Roman" w:hAnsi="Times New Roman"/>
                <w:sz w:val="14"/>
                <w:szCs w:val="14"/>
                <w:color w:val="0000EE"/>
                <w:w w:val="95"/>
              </w:rPr>
              <w:t>CAUTIONARY STATEMENT REGARDING FORWARD-LOOKING INFORMATION</w:t>
            </w:r>
          </w:p>
        </w:tc>
        <w:tc>
          <w:tcPr>
            <w:tcW w:w="3200" w:type="dxa"/>
            <w:vAlign w:val="bottom"/>
          </w:tcPr>
          <w:p>
            <w:pPr>
              <w:spacing w:after="0"/>
              <w:rPr>
                <w:sz w:val="12"/>
                <w:szCs w:val="12"/>
                <w:color w:val="auto"/>
              </w:rPr>
            </w:pPr>
          </w:p>
        </w:tc>
        <w:tc>
          <w:tcPr>
            <w:tcW w:w="24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2</w:t>
            </w:r>
          </w:p>
        </w:tc>
      </w:tr>
      <w:tr>
        <w:trPr>
          <w:trHeight w:val="144"/>
        </w:trPr>
        <w:tc>
          <w:tcPr>
            <w:tcW w:w="8100" w:type="dxa"/>
            <w:vAlign w:val="bottom"/>
            <w:gridSpan w:val="18"/>
          </w:tcPr>
          <w:p>
            <w:pPr>
              <w:spacing w:after="0" w:line="145" w:lineRule="exact"/>
              <w:rPr>
                <w:sz w:val="20"/>
                <w:szCs w:val="20"/>
                <w:color w:val="auto"/>
              </w:rPr>
            </w:pPr>
            <w:r>
              <w:rPr>
                <w:rFonts w:ascii="Times New Roman" w:cs="Times New Roman" w:eastAsia="Times New Roman" w:hAnsi="Times New Roman"/>
                <w:sz w:val="14"/>
                <w:szCs w:val="14"/>
                <w:color w:val="0000EE"/>
              </w:rPr>
              <w:t>OUR COMPANY</w:t>
            </w:r>
          </w:p>
        </w:tc>
        <w:tc>
          <w:tcPr>
            <w:tcW w:w="24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4</w:t>
            </w:r>
          </w:p>
        </w:tc>
      </w:tr>
      <w:tr>
        <w:trPr>
          <w:trHeight w:val="144"/>
        </w:trPr>
        <w:tc>
          <w:tcPr>
            <w:tcW w:w="980" w:type="dxa"/>
            <w:vAlign w:val="bottom"/>
            <w:tcBorders>
              <w:top w:val="single" w:sz="8" w:color="0000EE"/>
            </w:tcBorders>
            <w:gridSpan w:val="4"/>
          </w:tcPr>
          <w:p>
            <w:pPr>
              <w:spacing w:after="0" w:line="145" w:lineRule="exact"/>
              <w:rPr>
                <w:sz w:val="20"/>
                <w:szCs w:val="20"/>
                <w:color w:val="auto"/>
              </w:rPr>
            </w:pPr>
            <w:r>
              <w:rPr>
                <w:rFonts w:ascii="Times New Roman" w:cs="Times New Roman" w:eastAsia="Times New Roman" w:hAnsi="Times New Roman"/>
                <w:sz w:val="14"/>
                <w:szCs w:val="14"/>
                <w:color w:val="0000EE"/>
                <w:w w:val="97"/>
              </w:rPr>
              <w:t>RISK FACTORS</w:t>
            </w:r>
          </w:p>
        </w:tc>
        <w:tc>
          <w:tcPr>
            <w:tcW w:w="7120" w:type="dxa"/>
            <w:vAlign w:val="bottom"/>
            <w:gridSpan w:val="14"/>
          </w:tcPr>
          <w:p>
            <w:pPr>
              <w:spacing w:after="0"/>
              <w:rPr>
                <w:sz w:val="12"/>
                <w:szCs w:val="12"/>
                <w:color w:val="auto"/>
              </w:rPr>
            </w:pPr>
          </w:p>
        </w:tc>
        <w:tc>
          <w:tcPr>
            <w:tcW w:w="24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5</w:t>
            </w: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44"/>
        </w:trPr>
        <w:tc>
          <w:tcPr>
            <w:tcW w:w="1200" w:type="dxa"/>
            <w:vAlign w:val="bottom"/>
            <w:tcBorders>
              <w:bottom w:val="single" w:sz="8" w:color="0000EE"/>
            </w:tcBorders>
            <w:gridSpan w:val="6"/>
          </w:tcPr>
          <w:p>
            <w:pPr>
              <w:spacing w:after="0" w:line="145" w:lineRule="exact"/>
              <w:rPr>
                <w:sz w:val="20"/>
                <w:szCs w:val="20"/>
                <w:color w:val="auto"/>
              </w:rPr>
            </w:pPr>
            <w:r>
              <w:rPr>
                <w:rFonts w:ascii="Times New Roman" w:cs="Times New Roman" w:eastAsia="Times New Roman" w:hAnsi="Times New Roman"/>
                <w:sz w:val="14"/>
                <w:szCs w:val="14"/>
                <w:color w:val="0000EE"/>
                <w:w w:val="95"/>
              </w:rPr>
              <w:t>USE OF PROCEEDS</w:t>
            </w:r>
          </w:p>
        </w:tc>
        <w:tc>
          <w:tcPr>
            <w:tcW w:w="6900" w:type="dxa"/>
            <w:vAlign w:val="bottom"/>
            <w:gridSpan w:val="12"/>
          </w:tcPr>
          <w:p>
            <w:pPr>
              <w:spacing w:after="0"/>
              <w:rPr>
                <w:sz w:val="12"/>
                <w:szCs w:val="12"/>
                <w:color w:val="auto"/>
              </w:rPr>
            </w:pPr>
          </w:p>
        </w:tc>
        <w:tc>
          <w:tcPr>
            <w:tcW w:w="24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5</w:t>
            </w:r>
          </w:p>
        </w:tc>
      </w:tr>
      <w:tr>
        <w:trPr>
          <w:trHeight w:val="144"/>
        </w:trPr>
        <w:tc>
          <w:tcPr>
            <w:tcW w:w="2180" w:type="dxa"/>
            <w:vAlign w:val="bottom"/>
            <w:tcBorders>
              <w:bottom w:val="single" w:sz="8" w:color="0000EE"/>
            </w:tcBorders>
            <w:gridSpan w:val="13"/>
          </w:tcPr>
          <w:p>
            <w:pPr>
              <w:spacing w:after="0" w:line="145" w:lineRule="exact"/>
              <w:rPr>
                <w:sz w:val="20"/>
                <w:szCs w:val="20"/>
                <w:color w:val="auto"/>
              </w:rPr>
            </w:pPr>
            <w:r>
              <w:rPr>
                <w:rFonts w:ascii="Times New Roman" w:cs="Times New Roman" w:eastAsia="Times New Roman" w:hAnsi="Times New Roman"/>
                <w:sz w:val="14"/>
                <w:szCs w:val="14"/>
                <w:color w:val="0000EE"/>
                <w:w w:val="96"/>
              </w:rPr>
              <w:t>DESCRIPTION OF CAPITAL STOCK</w:t>
            </w:r>
          </w:p>
        </w:tc>
        <w:tc>
          <w:tcPr>
            <w:tcW w:w="5920" w:type="dxa"/>
            <w:vAlign w:val="bottom"/>
            <w:gridSpan w:val="5"/>
          </w:tcPr>
          <w:p>
            <w:pPr>
              <w:spacing w:after="0"/>
              <w:rPr>
                <w:sz w:val="12"/>
                <w:szCs w:val="12"/>
                <w:color w:val="auto"/>
              </w:rPr>
            </w:pPr>
          </w:p>
        </w:tc>
        <w:tc>
          <w:tcPr>
            <w:tcW w:w="24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6</w:t>
            </w:r>
          </w:p>
        </w:tc>
      </w:tr>
      <w:tr>
        <w:trPr>
          <w:trHeight w:val="144"/>
        </w:trPr>
        <w:tc>
          <w:tcPr>
            <w:tcW w:w="2300" w:type="dxa"/>
            <w:vAlign w:val="bottom"/>
            <w:tcBorders>
              <w:bottom w:val="single" w:sz="8" w:color="0000EE"/>
            </w:tcBorders>
            <w:gridSpan w:val="14"/>
          </w:tcPr>
          <w:p>
            <w:pPr>
              <w:spacing w:after="0" w:line="145" w:lineRule="exact"/>
              <w:rPr>
                <w:sz w:val="20"/>
                <w:szCs w:val="20"/>
                <w:color w:val="auto"/>
              </w:rPr>
            </w:pPr>
            <w:r>
              <w:rPr>
                <w:rFonts w:ascii="Times New Roman" w:cs="Times New Roman" w:eastAsia="Times New Roman" w:hAnsi="Times New Roman"/>
                <w:sz w:val="14"/>
                <w:szCs w:val="14"/>
                <w:color w:val="0000EE"/>
                <w:w w:val="96"/>
              </w:rPr>
              <w:t>DESCRIPTION OF DEBT SECURITIES</w:t>
            </w:r>
          </w:p>
        </w:tc>
        <w:tc>
          <w:tcPr>
            <w:tcW w:w="5800" w:type="dxa"/>
            <w:vAlign w:val="bottom"/>
            <w:gridSpan w:val="4"/>
          </w:tcPr>
          <w:p>
            <w:pPr>
              <w:spacing w:after="0"/>
              <w:rPr>
                <w:sz w:val="12"/>
                <w:szCs w:val="12"/>
                <w:color w:val="auto"/>
              </w:rPr>
            </w:pPr>
          </w:p>
        </w:tc>
        <w:tc>
          <w:tcPr>
            <w:tcW w:w="24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11</w:t>
            </w:r>
          </w:p>
        </w:tc>
      </w:tr>
      <w:tr>
        <w:trPr>
          <w:trHeight w:val="144"/>
        </w:trPr>
        <w:tc>
          <w:tcPr>
            <w:tcW w:w="2040" w:type="dxa"/>
            <w:vAlign w:val="bottom"/>
            <w:tcBorders>
              <w:bottom w:val="single" w:sz="8" w:color="0000EE"/>
            </w:tcBorders>
            <w:gridSpan w:val="11"/>
          </w:tcPr>
          <w:p>
            <w:pPr>
              <w:spacing w:after="0" w:line="145" w:lineRule="exact"/>
              <w:rPr>
                <w:sz w:val="20"/>
                <w:szCs w:val="20"/>
                <w:color w:val="auto"/>
              </w:rPr>
            </w:pPr>
            <w:r>
              <w:rPr>
                <w:rFonts w:ascii="Times New Roman" w:cs="Times New Roman" w:eastAsia="Times New Roman" w:hAnsi="Times New Roman"/>
                <w:sz w:val="14"/>
                <w:szCs w:val="14"/>
                <w:color w:val="0000EE"/>
                <w:w w:val="96"/>
              </w:rPr>
              <w:t>DESCRIPTION OF GUARANTEES</w:t>
            </w:r>
          </w:p>
        </w:tc>
        <w:tc>
          <w:tcPr>
            <w:tcW w:w="6060" w:type="dxa"/>
            <w:vAlign w:val="bottom"/>
            <w:gridSpan w:val="7"/>
          </w:tcPr>
          <w:p>
            <w:pPr>
              <w:spacing w:after="0"/>
              <w:rPr>
                <w:sz w:val="12"/>
                <w:szCs w:val="12"/>
                <w:color w:val="auto"/>
              </w:rPr>
            </w:pPr>
          </w:p>
        </w:tc>
        <w:tc>
          <w:tcPr>
            <w:tcW w:w="24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18</w:t>
            </w:r>
          </w:p>
        </w:tc>
      </w:tr>
      <w:tr>
        <w:trPr>
          <w:trHeight w:val="144"/>
        </w:trPr>
        <w:tc>
          <w:tcPr>
            <w:tcW w:w="2520" w:type="dxa"/>
            <w:vAlign w:val="bottom"/>
            <w:tcBorders>
              <w:bottom w:val="single" w:sz="8" w:color="0000EE"/>
            </w:tcBorders>
            <w:gridSpan w:val="15"/>
          </w:tcPr>
          <w:p>
            <w:pPr>
              <w:spacing w:after="0" w:line="145" w:lineRule="exact"/>
              <w:rPr>
                <w:sz w:val="20"/>
                <w:szCs w:val="20"/>
                <w:color w:val="auto"/>
              </w:rPr>
            </w:pPr>
            <w:r>
              <w:rPr>
                <w:rFonts w:ascii="Times New Roman" w:cs="Times New Roman" w:eastAsia="Times New Roman" w:hAnsi="Times New Roman"/>
                <w:sz w:val="14"/>
                <w:szCs w:val="14"/>
                <w:color w:val="0000EE"/>
                <w:w w:val="96"/>
              </w:rPr>
              <w:t>DESCRIPTION OF DEPOSITARY SHARES</w:t>
            </w:r>
          </w:p>
        </w:tc>
        <w:tc>
          <w:tcPr>
            <w:tcW w:w="5580" w:type="dxa"/>
            <w:vAlign w:val="bottom"/>
            <w:gridSpan w:val="3"/>
          </w:tcPr>
          <w:p>
            <w:pPr>
              <w:spacing w:after="0"/>
              <w:rPr>
                <w:sz w:val="12"/>
                <w:szCs w:val="12"/>
                <w:color w:val="auto"/>
              </w:rPr>
            </w:pPr>
          </w:p>
        </w:tc>
        <w:tc>
          <w:tcPr>
            <w:tcW w:w="24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20</w:t>
            </w:r>
          </w:p>
        </w:tc>
      </w:tr>
      <w:tr>
        <w:trPr>
          <w:trHeight w:val="144"/>
        </w:trPr>
        <w:tc>
          <w:tcPr>
            <w:tcW w:w="1880" w:type="dxa"/>
            <w:vAlign w:val="bottom"/>
            <w:tcBorders>
              <w:bottom w:val="single" w:sz="8" w:color="0000EE"/>
            </w:tcBorders>
            <w:gridSpan w:val="10"/>
          </w:tcPr>
          <w:p>
            <w:pPr>
              <w:spacing w:after="0" w:line="145" w:lineRule="exact"/>
              <w:rPr>
                <w:sz w:val="20"/>
                <w:szCs w:val="20"/>
                <w:color w:val="auto"/>
              </w:rPr>
            </w:pPr>
            <w:r>
              <w:rPr>
                <w:rFonts w:ascii="Times New Roman" w:cs="Times New Roman" w:eastAsia="Times New Roman" w:hAnsi="Times New Roman"/>
                <w:sz w:val="14"/>
                <w:szCs w:val="14"/>
                <w:color w:val="0000EE"/>
                <w:w w:val="95"/>
              </w:rPr>
              <w:t>DESCRIPTION OF WARRANTS</w:t>
            </w:r>
          </w:p>
        </w:tc>
        <w:tc>
          <w:tcPr>
            <w:tcW w:w="6220" w:type="dxa"/>
            <w:vAlign w:val="bottom"/>
            <w:gridSpan w:val="8"/>
          </w:tcPr>
          <w:p>
            <w:pPr>
              <w:spacing w:after="0"/>
              <w:rPr>
                <w:sz w:val="12"/>
                <w:szCs w:val="12"/>
                <w:color w:val="auto"/>
              </w:rPr>
            </w:pPr>
          </w:p>
        </w:tc>
        <w:tc>
          <w:tcPr>
            <w:tcW w:w="24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21</w:t>
            </w:r>
          </w:p>
        </w:tc>
      </w:tr>
      <w:tr>
        <w:trPr>
          <w:trHeight w:val="144"/>
        </w:trPr>
        <w:tc>
          <w:tcPr>
            <w:tcW w:w="8100" w:type="dxa"/>
            <w:vAlign w:val="bottom"/>
            <w:gridSpan w:val="18"/>
          </w:tcPr>
          <w:p>
            <w:pPr>
              <w:spacing w:after="0" w:line="145" w:lineRule="exact"/>
              <w:rPr>
                <w:sz w:val="20"/>
                <w:szCs w:val="20"/>
                <w:color w:val="auto"/>
              </w:rPr>
            </w:pPr>
            <w:r>
              <w:rPr>
                <w:rFonts w:ascii="Times New Roman" w:cs="Times New Roman" w:eastAsia="Times New Roman" w:hAnsi="Times New Roman"/>
                <w:sz w:val="14"/>
                <w:szCs w:val="14"/>
                <w:color w:val="0000EE"/>
              </w:rPr>
              <w:t>DESCRIPTION OF UNITS</w:t>
            </w:r>
          </w:p>
        </w:tc>
        <w:tc>
          <w:tcPr>
            <w:tcW w:w="24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23</w:t>
            </w: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52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44"/>
        </w:trPr>
        <w:tc>
          <w:tcPr>
            <w:tcW w:w="1680" w:type="dxa"/>
            <w:vAlign w:val="bottom"/>
            <w:tcBorders>
              <w:bottom w:val="single" w:sz="8" w:color="0000EE"/>
            </w:tcBorders>
            <w:gridSpan w:val="9"/>
          </w:tcPr>
          <w:p>
            <w:pPr>
              <w:spacing w:after="0" w:line="145" w:lineRule="exact"/>
              <w:rPr>
                <w:sz w:val="20"/>
                <w:szCs w:val="20"/>
                <w:color w:val="auto"/>
              </w:rPr>
            </w:pPr>
            <w:r>
              <w:rPr>
                <w:rFonts w:ascii="Times New Roman" w:cs="Times New Roman" w:eastAsia="Times New Roman" w:hAnsi="Times New Roman"/>
                <w:sz w:val="14"/>
                <w:szCs w:val="14"/>
                <w:color w:val="0000EE"/>
                <w:w w:val="98"/>
              </w:rPr>
              <w:t>DESCRIPTION OF RIGHTS</w:t>
            </w:r>
          </w:p>
        </w:tc>
        <w:tc>
          <w:tcPr>
            <w:tcW w:w="6420" w:type="dxa"/>
            <w:vAlign w:val="bottom"/>
            <w:gridSpan w:val="9"/>
          </w:tcPr>
          <w:p>
            <w:pPr>
              <w:spacing w:after="0"/>
              <w:rPr>
                <w:sz w:val="12"/>
                <w:szCs w:val="12"/>
                <w:color w:val="auto"/>
              </w:rPr>
            </w:pPr>
          </w:p>
        </w:tc>
        <w:tc>
          <w:tcPr>
            <w:tcW w:w="24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24</w:t>
            </w:r>
          </w:p>
        </w:tc>
      </w:tr>
      <w:tr>
        <w:trPr>
          <w:trHeight w:val="144"/>
        </w:trPr>
        <w:tc>
          <w:tcPr>
            <w:tcW w:w="1560" w:type="dxa"/>
            <w:vAlign w:val="bottom"/>
            <w:tcBorders>
              <w:bottom w:val="single" w:sz="8" w:color="0000EE"/>
            </w:tcBorders>
            <w:gridSpan w:val="8"/>
          </w:tcPr>
          <w:p>
            <w:pPr>
              <w:spacing w:after="0" w:line="145" w:lineRule="exact"/>
              <w:rPr>
                <w:sz w:val="20"/>
                <w:szCs w:val="20"/>
                <w:color w:val="auto"/>
              </w:rPr>
            </w:pPr>
            <w:r>
              <w:rPr>
                <w:rFonts w:ascii="Times New Roman" w:cs="Times New Roman" w:eastAsia="Times New Roman" w:hAnsi="Times New Roman"/>
                <w:sz w:val="14"/>
                <w:szCs w:val="14"/>
                <w:color w:val="0000EE"/>
                <w:w w:val="96"/>
              </w:rPr>
              <w:t>PLAN OF DISTRIBUTION</w:t>
            </w:r>
          </w:p>
        </w:tc>
        <w:tc>
          <w:tcPr>
            <w:tcW w:w="6540" w:type="dxa"/>
            <w:vAlign w:val="bottom"/>
            <w:gridSpan w:val="10"/>
          </w:tcPr>
          <w:p>
            <w:pPr>
              <w:spacing w:after="0"/>
              <w:rPr>
                <w:sz w:val="12"/>
                <w:szCs w:val="12"/>
                <w:color w:val="auto"/>
              </w:rPr>
            </w:pPr>
          </w:p>
        </w:tc>
        <w:tc>
          <w:tcPr>
            <w:tcW w:w="24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25</w:t>
            </w:r>
          </w:p>
        </w:tc>
      </w:tr>
      <w:tr>
        <w:trPr>
          <w:trHeight w:val="144"/>
        </w:trPr>
        <w:tc>
          <w:tcPr>
            <w:tcW w:w="2900" w:type="dxa"/>
            <w:vAlign w:val="bottom"/>
            <w:tcBorders>
              <w:bottom w:val="single" w:sz="8" w:color="0000EE"/>
            </w:tcBorders>
            <w:gridSpan w:val="16"/>
          </w:tcPr>
          <w:p>
            <w:pPr>
              <w:spacing w:after="0" w:line="145" w:lineRule="exact"/>
              <w:rPr>
                <w:sz w:val="20"/>
                <w:szCs w:val="20"/>
                <w:color w:val="auto"/>
              </w:rPr>
            </w:pPr>
            <w:r>
              <w:rPr>
                <w:rFonts w:ascii="Times New Roman" w:cs="Times New Roman" w:eastAsia="Times New Roman" w:hAnsi="Times New Roman"/>
                <w:sz w:val="14"/>
                <w:szCs w:val="14"/>
                <w:color w:val="0000EE"/>
                <w:w w:val="96"/>
              </w:rPr>
              <w:t>WHERE YOU CAN FIND MORE INFORMATION</w:t>
            </w:r>
          </w:p>
        </w:tc>
        <w:tc>
          <w:tcPr>
            <w:tcW w:w="5200" w:type="dxa"/>
            <w:vAlign w:val="bottom"/>
            <w:gridSpan w:val="2"/>
          </w:tcPr>
          <w:p>
            <w:pPr>
              <w:spacing w:after="0"/>
              <w:rPr>
                <w:sz w:val="12"/>
                <w:szCs w:val="12"/>
                <w:color w:val="auto"/>
              </w:rPr>
            </w:pPr>
          </w:p>
        </w:tc>
        <w:tc>
          <w:tcPr>
            <w:tcW w:w="24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26</w:t>
            </w:r>
          </w:p>
        </w:tc>
      </w:tr>
      <w:tr>
        <w:trPr>
          <w:trHeight w:val="144"/>
        </w:trPr>
        <w:tc>
          <w:tcPr>
            <w:tcW w:w="2140" w:type="dxa"/>
            <w:vAlign w:val="bottom"/>
            <w:tcBorders>
              <w:bottom w:val="single" w:sz="8" w:color="0000EE"/>
            </w:tcBorders>
            <w:gridSpan w:val="12"/>
          </w:tcPr>
          <w:p>
            <w:pPr>
              <w:spacing w:after="0" w:line="145" w:lineRule="exact"/>
              <w:rPr>
                <w:sz w:val="20"/>
                <w:szCs w:val="20"/>
                <w:color w:val="auto"/>
              </w:rPr>
            </w:pPr>
            <w:r>
              <w:rPr>
                <w:rFonts w:ascii="Times New Roman" w:cs="Times New Roman" w:eastAsia="Times New Roman" w:hAnsi="Times New Roman"/>
                <w:sz w:val="14"/>
                <w:szCs w:val="14"/>
                <w:color w:val="0000EE"/>
                <w:w w:val="95"/>
              </w:rPr>
              <w:t>INCORPORATION BY REFERENCE</w:t>
            </w:r>
          </w:p>
        </w:tc>
        <w:tc>
          <w:tcPr>
            <w:tcW w:w="5960" w:type="dxa"/>
            <w:vAlign w:val="bottom"/>
            <w:gridSpan w:val="6"/>
          </w:tcPr>
          <w:p>
            <w:pPr>
              <w:spacing w:after="0"/>
              <w:rPr>
                <w:sz w:val="12"/>
                <w:szCs w:val="12"/>
                <w:color w:val="auto"/>
              </w:rPr>
            </w:pPr>
          </w:p>
        </w:tc>
        <w:tc>
          <w:tcPr>
            <w:tcW w:w="24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27</w:t>
            </w:r>
          </w:p>
        </w:tc>
      </w:tr>
      <w:tr>
        <w:trPr>
          <w:trHeight w:val="144"/>
        </w:trPr>
        <w:tc>
          <w:tcPr>
            <w:tcW w:w="580" w:type="dxa"/>
            <w:vAlign w:val="bottom"/>
            <w:tcBorders>
              <w:bottom w:val="single" w:sz="8" w:color="0000EE"/>
            </w:tcBorders>
            <w:gridSpan w:val="2"/>
          </w:tcPr>
          <w:p>
            <w:pPr>
              <w:spacing w:after="0" w:line="145" w:lineRule="exact"/>
              <w:rPr>
                <w:sz w:val="20"/>
                <w:szCs w:val="20"/>
                <w:color w:val="auto"/>
              </w:rPr>
            </w:pPr>
            <w:r>
              <w:rPr>
                <w:rFonts w:ascii="Times New Roman" w:cs="Times New Roman" w:eastAsia="Times New Roman" w:hAnsi="Times New Roman"/>
                <w:sz w:val="14"/>
                <w:szCs w:val="14"/>
                <w:color w:val="0000EE"/>
                <w:w w:val="92"/>
              </w:rPr>
              <w:t>EXPERTS</w:t>
            </w:r>
          </w:p>
        </w:tc>
        <w:tc>
          <w:tcPr>
            <w:tcW w:w="7520" w:type="dxa"/>
            <w:vAlign w:val="bottom"/>
            <w:gridSpan w:val="16"/>
          </w:tcPr>
          <w:p>
            <w:pPr>
              <w:spacing w:after="0"/>
              <w:rPr>
                <w:sz w:val="12"/>
                <w:szCs w:val="12"/>
                <w:color w:val="auto"/>
              </w:rPr>
            </w:pPr>
          </w:p>
        </w:tc>
        <w:tc>
          <w:tcPr>
            <w:tcW w:w="24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28</w:t>
            </w:r>
          </w:p>
        </w:tc>
      </w:tr>
      <w:tr>
        <w:trPr>
          <w:trHeight w:val="144"/>
        </w:trPr>
        <w:tc>
          <w:tcPr>
            <w:tcW w:w="1100" w:type="dxa"/>
            <w:vAlign w:val="bottom"/>
            <w:tcBorders>
              <w:bottom w:val="single" w:sz="8" w:color="0000EE"/>
            </w:tcBorders>
            <w:gridSpan w:val="5"/>
          </w:tcPr>
          <w:p>
            <w:pPr>
              <w:spacing w:after="0" w:line="145" w:lineRule="exact"/>
              <w:rPr>
                <w:sz w:val="20"/>
                <w:szCs w:val="20"/>
                <w:color w:val="auto"/>
              </w:rPr>
            </w:pPr>
            <w:r>
              <w:rPr>
                <w:rFonts w:ascii="Times New Roman" w:cs="Times New Roman" w:eastAsia="Times New Roman" w:hAnsi="Times New Roman"/>
                <w:sz w:val="14"/>
                <w:szCs w:val="14"/>
                <w:color w:val="0000EE"/>
                <w:w w:val="94"/>
              </w:rPr>
              <w:t>LEGAL MATTERS</w:t>
            </w:r>
          </w:p>
        </w:tc>
        <w:tc>
          <w:tcPr>
            <w:tcW w:w="7000" w:type="dxa"/>
            <w:vAlign w:val="bottom"/>
            <w:gridSpan w:val="13"/>
          </w:tcPr>
          <w:p>
            <w:pPr>
              <w:spacing w:after="0"/>
              <w:rPr>
                <w:sz w:val="12"/>
                <w:szCs w:val="12"/>
                <w:color w:val="auto"/>
              </w:rPr>
            </w:pPr>
          </w:p>
        </w:tc>
        <w:tc>
          <w:tcPr>
            <w:tcW w:w="24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28</w:t>
            </w:r>
          </w:p>
        </w:tc>
      </w:tr>
    </w:tbl>
    <w:p>
      <w:pPr>
        <w:spacing w:after="0" w:line="168" w:lineRule="exact"/>
        <w:rPr>
          <w:sz w:val="20"/>
          <w:szCs w:val="20"/>
          <w:color w:val="auto"/>
        </w:rPr>
      </w:pPr>
    </w:p>
    <w:p>
      <w:pPr>
        <w:ind w:left="1460" w:right="319" w:firstLine="335"/>
        <w:spacing w:after="0" w:line="249" w:lineRule="auto"/>
        <w:rPr>
          <w:sz w:val="20"/>
          <w:szCs w:val="20"/>
          <w:color w:val="auto"/>
        </w:rPr>
      </w:pPr>
      <w:r>
        <w:rPr>
          <w:rFonts w:ascii="Times New Roman" w:cs="Times New Roman" w:eastAsia="Times New Roman" w:hAnsi="Times New Roman"/>
          <w:sz w:val="14"/>
          <w:szCs w:val="14"/>
          <w:b w:val="1"/>
          <w:bCs w:val="1"/>
          <w:color w:val="auto"/>
        </w:rPr>
        <w:t>You should rely only on the information contained or incorporated by reference in this prospectus, in any accompanying prospectus supplement or in any free writing prospectus filed by us with the Securities and Exchange Commission (the “SEC”). We have not authorized any other person to provide you with different information. If anyone provides you with different or inconsistent information, you should not rely on it. You should assume that the information appearing in this prospectus and any prospectus supplement or in any such free writing prospectus is accurate as of the dates on their covers. Our business, financial condition, results of operations and prospects may have changed since those dates. Any information contained on or accessible through our website is not incorporated herein and does not constitute part of this prospectus.</w:t>
      </w:r>
    </w:p>
    <w:p>
      <w:pPr>
        <w:spacing w:after="0" w:line="9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4"/>
          <w:szCs w:val="14"/>
          <w:color w:val="auto"/>
        </w:rPr>
        <w:t>i</w:t>
      </w:r>
    </w:p>
    <w:p>
      <w:pPr>
        <w:sectPr>
          <w:pgSz w:w="11900" w:h="16838" w:orient="portrait"/>
          <w:cols w:equalWidth="0" w:num="1">
            <w:col w:w="10159"/>
          </w:cols>
          <w:pgMar w:left="300" w:top="380" w:right="1440"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8">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4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ABOUT THIS PROSPECTUS</w:t>
      </w:r>
    </w:p>
    <w:p>
      <w:pPr>
        <w:spacing w:after="0" w:line="172" w:lineRule="exact"/>
        <w:rPr>
          <w:sz w:val="20"/>
          <w:szCs w:val="20"/>
          <w:color w:val="auto"/>
        </w:rPr>
      </w:pPr>
    </w:p>
    <w:p>
      <w:pPr>
        <w:ind w:left="1460" w:right="419" w:firstLine="335"/>
        <w:spacing w:after="0" w:line="256" w:lineRule="auto"/>
        <w:rPr>
          <w:sz w:val="20"/>
          <w:szCs w:val="20"/>
          <w:color w:val="auto"/>
        </w:rPr>
      </w:pPr>
      <w:r>
        <w:rPr>
          <w:rFonts w:ascii="Times New Roman" w:cs="Times New Roman" w:eastAsia="Times New Roman" w:hAnsi="Times New Roman"/>
          <w:sz w:val="14"/>
          <w:szCs w:val="14"/>
          <w:color w:val="auto"/>
        </w:rPr>
        <w:t>This prospectus is part of a registration statement that we filed with the SEC under the Securities Act of 1933, as amended (the “Securities Act”), utilizing a “shelf” registration process. Under this shelf registration process, we may, from time to time, sell in one or more offerings any of our securities described in this prospectus.</w:t>
      </w:r>
    </w:p>
    <w:p>
      <w:pPr>
        <w:spacing w:after="0" w:line="143" w:lineRule="exact"/>
        <w:rPr>
          <w:sz w:val="20"/>
          <w:szCs w:val="20"/>
          <w:color w:val="auto"/>
        </w:rPr>
      </w:pPr>
    </w:p>
    <w:p>
      <w:pPr>
        <w:ind w:left="1460" w:right="599" w:firstLine="335"/>
        <w:spacing w:after="0" w:line="278" w:lineRule="auto"/>
        <w:rPr>
          <w:sz w:val="20"/>
          <w:szCs w:val="20"/>
          <w:color w:val="auto"/>
        </w:rPr>
      </w:pPr>
      <w:r>
        <w:rPr>
          <w:rFonts w:ascii="Times New Roman" w:cs="Times New Roman" w:eastAsia="Times New Roman" w:hAnsi="Times New Roman"/>
          <w:sz w:val="13"/>
          <w:szCs w:val="13"/>
          <w:color w:val="auto"/>
        </w:rPr>
        <w:t>This prospectus provides you with a general description of the securities that we may offer. Each time we sell securities, we will provide a prospectus supplement that will contain specific information about the terms of that offering, including the specific amounts, prices and terms of the securities offered. The prospectus supplement may also add, update or change information contained in this prospectus. If there is any inconsistency between the information in this prospectus and a prospectus supplement, you should rely on the information in that prospectus supplement.</w:t>
      </w:r>
    </w:p>
    <w:p>
      <w:pPr>
        <w:spacing w:after="0" w:line="129" w:lineRule="exact"/>
        <w:rPr>
          <w:sz w:val="20"/>
          <w:szCs w:val="20"/>
          <w:color w:val="auto"/>
        </w:rPr>
      </w:pPr>
    </w:p>
    <w:p>
      <w:pPr>
        <w:ind w:left="1460" w:right="439" w:firstLine="335"/>
        <w:spacing w:after="0" w:line="267" w:lineRule="auto"/>
        <w:rPr>
          <w:sz w:val="20"/>
          <w:szCs w:val="20"/>
          <w:color w:val="auto"/>
        </w:rPr>
      </w:pPr>
      <w:r>
        <w:rPr>
          <w:rFonts w:ascii="Times New Roman" w:cs="Times New Roman" w:eastAsia="Times New Roman" w:hAnsi="Times New Roman"/>
          <w:sz w:val="14"/>
          <w:szCs w:val="14"/>
          <w:color w:val="auto"/>
        </w:rPr>
        <w:t>You should carefully read both this prospectus and any prospectus supplement, together with additional information described under the heading “Where You Can Find More Information” and “Incorporation by Reference.”</w:t>
      </w:r>
    </w:p>
    <w:p>
      <w:pPr>
        <w:spacing w:after="0" w:line="135" w:lineRule="exact"/>
        <w:rPr>
          <w:sz w:val="20"/>
          <w:szCs w:val="20"/>
          <w:color w:val="auto"/>
        </w:rPr>
      </w:pPr>
    </w:p>
    <w:p>
      <w:pPr>
        <w:ind w:left="1460" w:right="399" w:firstLine="335"/>
        <w:spacing w:after="0" w:line="250" w:lineRule="auto"/>
        <w:rPr>
          <w:sz w:val="20"/>
          <w:szCs w:val="20"/>
          <w:color w:val="auto"/>
        </w:rPr>
      </w:pPr>
      <w:r>
        <w:rPr>
          <w:rFonts w:ascii="Times New Roman" w:cs="Times New Roman" w:eastAsia="Times New Roman" w:hAnsi="Times New Roman"/>
          <w:sz w:val="14"/>
          <w:szCs w:val="14"/>
          <w:color w:val="auto"/>
        </w:rPr>
        <w:t>In this prospectus, unless the context indicates otherwise, the words and terms “Southwest Gas Holdings,” “the Company,” “we,” “our,” “ours” and “us” refer to Southwest Gas Holdings, Inc., together with our subsidiaries. The term “Southwest Gas Holdings, Inc.” refers to Southwest Gas Holdings, Inc. without its consolidated subsidiaries. The term “Southwest” refers to our subsidiary, Southwest Gas Corporation, either on a standalone basis or together with its consolidated subsidiaries, as the context requires. The term “Centuri” refers to Centuri Group, Inc., a wholly owned subsidiary of Southwest Gas Holdings, Inc. that represents its utility infrastructure services segment.</w:t>
      </w:r>
    </w:p>
    <w:p>
      <w:pPr>
        <w:spacing w:after="0" w:line="9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10159"/>
          </w:cols>
          <w:pgMar w:left="300" w:top="380" w:right="1440"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9">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40"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4"/>
          <w:szCs w:val="14"/>
          <w:b w:val="1"/>
          <w:bCs w:val="1"/>
          <w:color w:val="auto"/>
        </w:rPr>
        <w:t>CAUTIONARY STATEMENT REGARDING FORWARD-LOOKING INFORMATION</w:t>
      </w:r>
    </w:p>
    <w:p>
      <w:pPr>
        <w:spacing w:after="0" w:line="172" w:lineRule="exact"/>
        <w:rPr>
          <w:sz w:val="20"/>
          <w:szCs w:val="20"/>
          <w:color w:val="auto"/>
        </w:rPr>
      </w:pPr>
    </w:p>
    <w:p>
      <w:pPr>
        <w:ind w:left="1460" w:right="339" w:firstLine="335"/>
        <w:spacing w:after="0" w:line="265" w:lineRule="auto"/>
        <w:rPr>
          <w:sz w:val="20"/>
          <w:szCs w:val="20"/>
          <w:color w:val="auto"/>
        </w:rPr>
      </w:pPr>
      <w:r>
        <w:rPr>
          <w:rFonts w:ascii="Times New Roman" w:cs="Times New Roman" w:eastAsia="Times New Roman" w:hAnsi="Times New Roman"/>
          <w:sz w:val="13"/>
          <w:szCs w:val="13"/>
          <w:color w:val="auto"/>
        </w:rPr>
        <w:t>This prospectus and the documents we incorporate by reference herein and therein contain forward-looking statements within the meaning of the Private Securities Litigation Reform Act of 1995, Section 27A of the Securities Act or Section 21E of the Securities Exchange Act of 1934, as amended (the “Exchange Act”). All statements other than statements of historical fact included or incorporated by reference in this prospectus are forward-looking statements, including, without limitation, statements regarding the Company’s and Southwest’s plans, objectives, goals, intentions, projections, strategies, future events or performance, negotiations, and underlying assumptions. The words “may,” “if,” “will,” “should,” “could,” “expect,” “plan,” “anticipate,” “believe,” “estimate,” “predict,” “project,” “continue,” “forecast,” “intend,” “endeavor,” “promote,” “seek,” “pursue,” and similar words and expressions are generally used and intended to identify forward-looking statements. For example, statements regarding plans to refinance near-term maturities, plans to separate from Centuri by means of one or more disposition transactions, including by way of a pro rata distribution to our stockholders, one or more distributions in exchange for our common stock or other securities, a sell-down of shares of our common stock or any combination thereof, or an initial public offering by Centuri followed by one or more disposition transactions, the intended tax treatment of any separation of Centuri, those regarding operating margin patterns, customer growth, the composition of our customer base, price volatility, seasonal patterns, the ability to pay debt, Southwest’s company-owned life insurance (“COLI”) strategy, the magnitude of future acquisition or divestiture purchase price true-ups or post-closing payments and related impairments or losses related thereto, replacement market and new construction market, impacts from pandemics, including on our employees, customers, business, financial position, earnings, bad debt expense, work deployment and related uncertainties, expected impacts of valuation adjustments associated with any redeemable noncontrolling interests, the profitability of storm work, mix of work, or absorption of fixed costs by larger infrastructure services customers (including Southwest), the impacts of U.S. tax reform, including disposition in any regulatory proceeding and bonus depreciation tax deductions, the impact of recent Pipeline and Hazardous Materials Safety Administration rulemaking, the amounts and timing for completion of estimated future construction expenditures, plans to pursue infrastructure programs or programs under SB 151 legislation, forecasted operating cash flows and results of operations, net earnings impacts or recovery of costs from gas infrastructure replacement and Vintage Steel Pipe programs and surcharges, funding sources of cash requirements, amounts generally expected to be reflected in future period revenues from regulatory rate proceedings including amounts requested or settled from recent and ongoing general rate cases or other regulatory proceedings, rates and surcharges, Purchased Gas Account (“PGA”) administration, recovery and timing, and other rate adjustments, sufficiency of working capital and current credit facilities or the ability to cure negative working capital balances, bank lending practices, the Company’s views regarding its liquidity position, ability to raise funds and receive external financing capacity and the intent and ability to issue various financing instruments and stock under an at-the-market equity program or otherwise, future dividends or increases and the board of directors’ current payout strategy, pension and postretirement benefits, certain impacts of tax acts, the effect of any other rate changes or regulatory proceedings, contract or construction change order negotiations, impacts of accounting standard updates, statements regarding future gas prices, gas purchase contracts and pipeline imbalance charges or claims related thereto, recoverability of regulatory assets, the impact of certain legal proceedings or claims, and the timing and results of future rate hearings, including any ongoing or future general rate cases and other proceedings, statements regarding any strategic review, optimization opportunity identification, benchmarking, and assessment, including the timing and costs of any such processes, and statements regarding pending approvals are forward-looking statements.</w:t>
      </w:r>
    </w:p>
    <w:p>
      <w:pPr>
        <w:spacing w:after="0" w:line="200" w:lineRule="exact"/>
        <w:rPr>
          <w:sz w:val="20"/>
          <w:szCs w:val="20"/>
          <w:color w:val="auto"/>
        </w:rPr>
      </w:pPr>
    </w:p>
    <w:p>
      <w:pPr>
        <w:spacing w:after="0" w:line="275" w:lineRule="exact"/>
        <w:rPr>
          <w:sz w:val="20"/>
          <w:szCs w:val="20"/>
          <w:color w:val="auto"/>
        </w:rPr>
      </w:pPr>
    </w:p>
    <w:p>
      <w:pPr>
        <w:ind w:left="1460" w:right="359" w:firstLine="335"/>
        <w:spacing w:after="0" w:line="249" w:lineRule="auto"/>
        <w:rPr>
          <w:sz w:val="20"/>
          <w:szCs w:val="20"/>
          <w:color w:val="auto"/>
        </w:rPr>
      </w:pPr>
      <w:r>
        <w:rPr>
          <w:rFonts w:ascii="Times New Roman" w:cs="Times New Roman" w:eastAsia="Times New Roman" w:hAnsi="Times New Roman"/>
          <w:sz w:val="14"/>
          <w:szCs w:val="14"/>
          <w:color w:val="auto"/>
        </w:rPr>
        <w:t>A number of important factors affecting the business and financial results of the Company and Southwest could cause actual results to differ materially from those stated in the forward-looking statements. These factors include, but are not limited to, customer growth rates, conditions in the housing market, inflation, interest rates and related government actions, sufficiency of labor markets and ability to timely hire qualified employees or similar resources, acquisition and divestiture decisions including prices paid or received, adjustments, indemnifications, or commitments related thereto, and their impacts to impairments, write-downs, or losses or expenses generally, the impacts of pandemics including that which may result from a restriction by government</w:t>
      </w:r>
    </w:p>
    <w:p>
      <w:pPr>
        <w:spacing w:after="0" w:line="9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10159"/>
          </w:cols>
          <w:pgMar w:left="300" w:top="380" w:right="1440"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0">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44" w:lineRule="exact"/>
        <w:rPr>
          <w:sz w:val="20"/>
          <w:szCs w:val="20"/>
          <w:color w:val="auto"/>
        </w:rPr>
      </w:pPr>
    </w:p>
    <w:p>
      <w:pPr>
        <w:ind w:left="1460" w:right="339"/>
        <w:spacing w:after="0" w:line="265" w:lineRule="auto"/>
        <w:rPr>
          <w:sz w:val="20"/>
          <w:szCs w:val="20"/>
          <w:color w:val="auto"/>
        </w:rPr>
      </w:pPr>
      <w:r>
        <w:rPr>
          <w:rFonts w:ascii="Times New Roman" w:cs="Times New Roman" w:eastAsia="Times New Roman" w:hAnsi="Times New Roman"/>
          <w:sz w:val="13"/>
          <w:szCs w:val="13"/>
          <w:color w:val="auto"/>
        </w:rPr>
        <w:t>officials or otherwise, including impacts on employment in our territories, the health impacts to our customers and employees, the ability to collect on customer accounts due to the suspension or lifted moratorium on late fees or service disconnection or otherwise in any or all jurisdictions, the ability to obtain regulatory recovery of related costs, the ability of the infrastructure services business to conduct work and the impact of a delay or termination of work, and decisions of Centuri customers (including Southwest) as to whether to pursue capital projects due to economic impacts resulting from a pandemic or otherwise, the ability to recover and timing thereof related to costs associated with the PGA mechanisms or other regulatory assets or programs, the effects of regulation/deregulation, governmental or regulatory policy regarding pipeline safety, greenhouse gas emissions, natural gas, including potential prohibitions on the use of natural gas by customers or potential customers, including related to electric generation or natural gas appliances, or regarding alternative energy, the regulatory support for ongoing infrastructure programs or expansions, the timing and amount of rate relief, the impact of other regulatory proceedings, the timing and methods determined by regulators to refund amounts to customers resulting from U.S. tax reform, changes in rate design, impacts of other tax regulations, variability in volume of gas or transportation service sold to customers, changes in gas procurement practices, changes in capital requirements and funding, the impact of credit rating actions and conditions in the capital markets on financing costs, changes in construction expenditures and financing, levels of or changes in operations and maintenance expenses, or other costs, including fuel costs and other costs impacted by inflation or otherwise, geopolitical influences on the business or its costs, effects of pension or other postretirement benefit expense forecasts or plan modifications, accounting changes and regulatory treatment related thereto, currently unresolved and future liability claims and disputes, changes in pipeline capacity for the transportation of gas and related costs, results of Centuri bid work, the impact of weather on Centuri’s operations, projections about acquired business’ earnings, or those that may be planned, future acquisition-related costs, differences between the actual experience and projections in costs to integrate or stand-up portions of newly acquired business operations, impacts of changes in the value of any redeemable noncontrolling interests if at other than fair value, Centuri utility infrastructure expenses, differences between actual and originally expected outcomes of Centuri bid or other fixed-price construction agreements, outcomes from contract and change order negotiations, ability to successfully procure new work and impacts from work awarded or failing to be awarded from significant customers (collectively, including from Southwest) or related to significant projects, the mix of work awarded, the amount of work awarded to Centuri following the lifting of work stoppages or reduction, the result of productivity inefficiencies from regulatory requirements, customer supply chain challenges, or otherwise, delays or challenges in commissioning individual projects, acquisitions and management’s plans related thereto, the ability of management to successfully finance, close, and assimilate any acquired businesses, the timing and ability of management to successfully consummate the separation of Centuri, the nature and timing of the separation and impacts on our consolidated earnings or stock price as a result, the impact on our stock price or our credit ratings due to undertaking or failing to undertake acquisition or divestiture activities or other strategic endeavors, the impact on our stock price, costs, actions or disruptions or continuation thereof related to significant stockholders and their activism, competition, our ability to raise capital in external financings, our ability to continue to remain within the ratios and other limits subject to our debt covenants, and ongoing evaluations in regard to goodwill or other intangible assets, and optimization initiatives, including costs related thereto. In addition, the Company can provide no assurance that its discussions regarding certain trends or plans relating to its financing and operating expenses will continue, proceed as planned, or cease to continue, or fail to be alleviated, in future periods. Additional factors that could cause actual results to differ and that you should consider prior to investing in our securities are discussed under the heading “Risk Factors” and in other sections of this prospectus and our current and periodic reports, and other filings, filed from time to time with the SEC that are incorporated by reference into this prospectus. See “Incorporation by Reference” and “Where You Can Find More Information” below for information about how to obtain copies of those documents. All forward-looking statements in this prospectus and the documents incorporated by reference herein are made only as of the date of the document in which they are contained, based on information available to us as of the date of that document, and we caution you not to place undue reliance on forward-looking statements in light of the risks and uncertainties associated with them. We assume no obligation to update any forward-looking statements, whether as a result of new information, future events or otherwise.</w:t>
      </w:r>
    </w:p>
    <w:p>
      <w:pPr>
        <w:spacing w:after="0" w:line="200" w:lineRule="exact"/>
        <w:rPr>
          <w:sz w:val="20"/>
          <w:szCs w:val="20"/>
          <w:color w:val="auto"/>
        </w:rPr>
      </w:pPr>
    </w:p>
    <w:p>
      <w:pPr>
        <w:spacing w:after="0" w:line="219"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10159"/>
          </w:cols>
          <w:pgMar w:left="300" w:top="380" w:right="1440"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1">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4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OUR COMPANY</w:t>
      </w:r>
    </w:p>
    <w:p>
      <w:pPr>
        <w:spacing w:after="0" w:line="172" w:lineRule="exact"/>
        <w:rPr>
          <w:sz w:val="20"/>
          <w:szCs w:val="20"/>
          <w:color w:val="auto"/>
        </w:rPr>
      </w:pPr>
    </w:p>
    <w:p>
      <w:pPr>
        <w:ind w:left="1460" w:right="599" w:firstLine="335"/>
        <w:spacing w:after="0" w:line="306" w:lineRule="auto"/>
        <w:rPr>
          <w:sz w:val="20"/>
          <w:szCs w:val="20"/>
          <w:color w:val="auto"/>
        </w:rPr>
      </w:pPr>
      <w:r>
        <w:rPr>
          <w:rFonts w:ascii="Times New Roman" w:cs="Times New Roman" w:eastAsia="Times New Roman" w:hAnsi="Times New Roman"/>
          <w:sz w:val="13"/>
          <w:szCs w:val="13"/>
          <w:color w:val="auto"/>
        </w:rPr>
        <w:t>Southwest Gas Holdings, Inc., a Delaware corporation, is a holding company headquartered in Las Vegas, Nevada. Through its wholly owned subsidiaries, Southwest and Centuri, the Company operates in two business segments: natural gas distribution and utility infrastructure services.</w:t>
      </w:r>
    </w:p>
    <w:p>
      <w:pPr>
        <w:spacing w:after="0" w:line="112" w:lineRule="exact"/>
        <w:rPr>
          <w:sz w:val="20"/>
          <w:szCs w:val="20"/>
          <w:color w:val="auto"/>
        </w:rPr>
      </w:pPr>
    </w:p>
    <w:p>
      <w:pPr>
        <w:ind w:left="1460" w:right="339" w:firstLine="335"/>
        <w:spacing w:after="0" w:line="250" w:lineRule="auto"/>
        <w:rPr>
          <w:sz w:val="20"/>
          <w:szCs w:val="20"/>
          <w:color w:val="auto"/>
        </w:rPr>
      </w:pPr>
      <w:r>
        <w:rPr>
          <w:rFonts w:ascii="Times New Roman" w:cs="Times New Roman" w:eastAsia="Times New Roman" w:hAnsi="Times New Roman"/>
          <w:sz w:val="14"/>
          <w:szCs w:val="14"/>
          <w:color w:val="auto"/>
        </w:rPr>
        <w:t>Southwest, incorporated in March 1931 under the laws of the state of California, provides regulated natural gas distribution services to customers in portions of Arizona, Nevada, and California. Public utility rates, practices, facilities, and service territories of Southwest are subject to regulatory oversight. The timing and amount of rate relief can materially impact results of operations. Natural gas purchases and the timing of related recoveries can materially impact liquidity. Results for the natural gas distribution segment are higher during winter periods due to the seasonality incorporated in its regulatory rate structures.</w:t>
      </w:r>
    </w:p>
    <w:p>
      <w:pPr>
        <w:spacing w:after="0" w:line="148" w:lineRule="exact"/>
        <w:rPr>
          <w:sz w:val="20"/>
          <w:szCs w:val="20"/>
          <w:color w:val="auto"/>
        </w:rPr>
      </w:pPr>
    </w:p>
    <w:p>
      <w:pPr>
        <w:ind w:left="1460" w:right="379" w:firstLine="335"/>
        <w:spacing w:after="0" w:line="278" w:lineRule="auto"/>
        <w:rPr>
          <w:sz w:val="20"/>
          <w:szCs w:val="20"/>
          <w:color w:val="auto"/>
        </w:rPr>
      </w:pPr>
      <w:r>
        <w:rPr>
          <w:rFonts w:ascii="Times New Roman" w:cs="Times New Roman" w:eastAsia="Times New Roman" w:hAnsi="Times New Roman"/>
          <w:sz w:val="13"/>
          <w:szCs w:val="13"/>
          <w:color w:val="auto"/>
        </w:rPr>
        <w:t>Southwest is subject to regulation by the Arizona Corporation Commission, the Public Utilities Commission of Nevada, and the California Public Utilities Commission (the “CPUC”). The CPUC regulates the issuance of all securities by Southwest, with the exception of short-term borrowings. Certain of the Company’s and Southwest’s accounting practices, transmission facilities and rates are subject to regulation by the Federal Energy Regulatory Commission (the “FERC”). Centuri is not regulated by the state utilities commissions or by the FERC in any of its operating areas.</w:t>
      </w:r>
    </w:p>
    <w:p>
      <w:pPr>
        <w:spacing w:after="0" w:line="129" w:lineRule="exact"/>
        <w:rPr>
          <w:sz w:val="20"/>
          <w:szCs w:val="20"/>
          <w:color w:val="auto"/>
        </w:rPr>
      </w:pPr>
    </w:p>
    <w:p>
      <w:pPr>
        <w:ind w:left="1460" w:right="359" w:firstLine="335"/>
        <w:spacing w:after="0" w:line="247" w:lineRule="auto"/>
        <w:rPr>
          <w:sz w:val="20"/>
          <w:szCs w:val="20"/>
          <w:color w:val="auto"/>
        </w:rPr>
      </w:pPr>
      <w:r>
        <w:rPr>
          <w:rFonts w:ascii="Times New Roman" w:cs="Times New Roman" w:eastAsia="Times New Roman" w:hAnsi="Times New Roman"/>
          <w:sz w:val="14"/>
          <w:szCs w:val="14"/>
          <w:color w:val="auto"/>
        </w:rPr>
        <w:t>Centuri is a strategic utility infrastructure services company dedicated to partnering with North America’s electric and gas providers to build and maintain the energy network that powers millions of homes across the United States and Canada. Centuri’s skilled workforce delivers a comprehensive and integrated array of solutions through its primary operating companies: NPL Construction Co., NPL Canada Ltd., New England Utility Constructors, Inc., Linetec Services, LLC, and Riggs Distler &amp; Company, Inc. Centuri has strategically expanded its geographic reach and service offerings through organic and inorganic growth to better meet diverse customer needs across both electric and gas infrastructure, including growing customer attention to achieving environmental objectives. On December 15, 2022, we announced that our board of directors (the “Board”) had determined to separate Centuri from Southwest Gas Holdings into a standalone, independent public company. On September 22, 2023, we announced that Centuri Holdings, Inc. (“Centuri Holdings”) had confidentially submitted a draft registration statement with respect to an initial public offering of its shares of common stock (the “Centuri IPO”). We remain committed to separating Centuri and continue to assess the value of a potential tax-free spin-off of Centuri, either following, or in lieu of, a potential initial public offering by Centuri. Following a Centuri IPO, if one occurs, we intend to maintain the flexibility to dispose of our remaining Centuri interests in a number of ways, including through a spin-off transaction, open market sales of Centuri Holdings common stock or an exchange offer of our common stock for Centuri Holdings common stock.</w:t>
      </w:r>
    </w:p>
    <w:p>
      <w:pPr>
        <w:spacing w:after="0" w:line="149"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4"/>
          <w:szCs w:val="14"/>
          <w:color w:val="auto"/>
        </w:rPr>
        <w:t>Our corporate headquarters is located at 8360 S. Durango Drive, P.O. Box 98510, Las Vegas, Nevada 89150-8510, telephone number (702)</w:t>
      </w:r>
    </w:p>
    <w:p>
      <w:pPr>
        <w:spacing w:after="0" w:line="15"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color w:val="auto"/>
        </w:rPr>
        <w:t>876-7237.</w:t>
      </w:r>
    </w:p>
    <w:p>
      <w:pPr>
        <w:spacing w:after="0" w:line="105"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10159"/>
          </w:cols>
          <w:pgMar w:left="300" w:top="380" w:right="1440"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2">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4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172" w:lineRule="exact"/>
        <w:rPr>
          <w:sz w:val="20"/>
          <w:szCs w:val="20"/>
          <w:color w:val="auto"/>
        </w:rPr>
      </w:pPr>
    </w:p>
    <w:p>
      <w:pPr>
        <w:ind w:left="1460" w:right="439" w:firstLine="335"/>
        <w:spacing w:after="0" w:line="250" w:lineRule="auto"/>
        <w:rPr>
          <w:sz w:val="20"/>
          <w:szCs w:val="20"/>
          <w:color w:val="auto"/>
        </w:rPr>
      </w:pPr>
      <w:r>
        <w:rPr>
          <w:rFonts w:ascii="Times New Roman" w:cs="Times New Roman" w:eastAsia="Times New Roman" w:hAnsi="Times New Roman"/>
          <w:sz w:val="14"/>
          <w:szCs w:val="14"/>
          <w:color w:val="auto"/>
        </w:rPr>
        <w:t>Our business is subject to certain risks and uncertainties. You should carefully consider and evaluate all of the information included and incorporated by reference in this prospectus and any applicable prospectus supplement, including the risk factors incorporated by reference to our Annual Report on Form 10-K for the year ended December 31, 2022, as well as any risk factors we may describe in any subsequent periodic reports or information we file with the SEC. It is possible that our business, financial condition, liquidity or results of operations could be materially adversely affected by any of these risks.</w:t>
      </w:r>
    </w:p>
    <w:p>
      <w:pPr>
        <w:spacing w:after="0" w:line="30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172" w:lineRule="exact"/>
        <w:rPr>
          <w:sz w:val="20"/>
          <w:szCs w:val="20"/>
          <w:color w:val="auto"/>
        </w:rPr>
      </w:pPr>
    </w:p>
    <w:p>
      <w:pPr>
        <w:jc w:val="both"/>
        <w:ind w:left="1460" w:right="419" w:firstLine="335"/>
        <w:spacing w:after="0" w:line="256" w:lineRule="auto"/>
        <w:rPr>
          <w:sz w:val="20"/>
          <w:szCs w:val="20"/>
          <w:color w:val="auto"/>
        </w:rPr>
      </w:pPr>
      <w:r>
        <w:rPr>
          <w:rFonts w:ascii="Times New Roman" w:cs="Times New Roman" w:eastAsia="Times New Roman" w:hAnsi="Times New Roman"/>
          <w:sz w:val="14"/>
          <w:szCs w:val="14"/>
          <w:color w:val="auto"/>
        </w:rPr>
        <w:t>Unless otherwise indicated in the applicable prospectus supplement or other offering material, we intend to use the net proceeds from the sale of securities for general corporate purposes, which may include the following: refunding, repurchasing, retiring upon maturity or redeeming existing debt; funding for working capital; capital expenditures; repurchases of our capital stock; and strategic investments and acquisitions.</w:t>
      </w:r>
    </w:p>
    <w:p>
      <w:pPr>
        <w:spacing w:after="0" w:line="91"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10159"/>
          </w:cols>
          <w:pgMar w:left="300" w:top="380" w:right="1440"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3">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40"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4"/>
          <w:szCs w:val="14"/>
          <w:b w:val="1"/>
          <w:bCs w:val="1"/>
          <w:color w:val="auto"/>
        </w:rPr>
        <w:t>DESCRIPTION OF CAPITAL STOCK</w:t>
      </w:r>
    </w:p>
    <w:p>
      <w:pPr>
        <w:spacing w:after="0" w:line="168"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90" w:lineRule="exact"/>
        <w:rPr>
          <w:sz w:val="20"/>
          <w:szCs w:val="20"/>
          <w:color w:val="auto"/>
        </w:rPr>
      </w:pPr>
    </w:p>
    <w:p>
      <w:pPr>
        <w:ind w:left="1460" w:right="379" w:firstLine="335"/>
        <w:spacing w:after="0" w:line="278" w:lineRule="auto"/>
        <w:rPr>
          <w:sz w:val="20"/>
          <w:szCs w:val="20"/>
          <w:color w:val="auto"/>
        </w:rPr>
      </w:pPr>
      <w:r>
        <w:rPr>
          <w:rFonts w:ascii="Times New Roman" w:cs="Times New Roman" w:eastAsia="Times New Roman" w:hAnsi="Times New Roman"/>
          <w:sz w:val="13"/>
          <w:szCs w:val="13"/>
          <w:color w:val="auto"/>
        </w:rPr>
        <w:t>The authorized capital stock of Southwest Gas Holdings, Inc. consists of (1) 120,000,000 shares of Southwest Gas Holdings, Inc. common stock, with a $1.00 par value, (2) 5,000,000 shares of preferred stock, without par value, and (3) 2,000,000 shares of preference stock, with a $20.00 par value. As of November 17, 2023, there were issued and outstanding 71,521,131 shares of Southwest Gas Holdings, Inc. common stock and no shares of Southwest Gas Holdings, Inc. preferred stock or preference stock. No other classes of capital stock are authorized under our certificate of incorporation.</w:t>
      </w:r>
    </w:p>
    <w:p>
      <w:pPr>
        <w:spacing w:after="0" w:line="129" w:lineRule="exact"/>
        <w:rPr>
          <w:sz w:val="20"/>
          <w:szCs w:val="20"/>
          <w:color w:val="auto"/>
        </w:rPr>
      </w:pPr>
    </w:p>
    <w:p>
      <w:pPr>
        <w:ind w:left="1460" w:right="339" w:firstLine="335"/>
        <w:spacing w:after="0" w:line="250" w:lineRule="auto"/>
        <w:rPr>
          <w:sz w:val="20"/>
          <w:szCs w:val="20"/>
          <w:color w:val="auto"/>
        </w:rPr>
      </w:pPr>
      <w:r>
        <w:rPr>
          <w:rFonts w:ascii="Times New Roman" w:cs="Times New Roman" w:eastAsia="Times New Roman" w:hAnsi="Times New Roman"/>
          <w:sz w:val="14"/>
          <w:szCs w:val="14"/>
          <w:color w:val="auto"/>
        </w:rPr>
        <w:t>The following description of Southwest Gas Holdings, Inc.’s capital stock is only a summary and is qualified in its entirety by reference to our certificate of incorporation, bylaws and the Tax-Free Spin Protection Plan, dated as of November 5, 2023 (as the same may be amended from time to time, the “Plan”), between the Company and Equiniti Trust Company, LLC, as rights agent. Therefore, you should read carefully the more detailed provisions of our certificate of incorporation, bylaws and the Plan, copies of which are incorporated by reference as exhibits to the registration statement of which this prospectus is a part.</w:t>
      </w:r>
    </w:p>
    <w:p>
      <w:pPr>
        <w:spacing w:after="0" w:line="226"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color w:val="auto"/>
        </w:rPr>
        <w:t>Common Stock</w:t>
      </w:r>
    </w:p>
    <w:p>
      <w:pPr>
        <w:spacing w:after="0" w:line="90"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4"/>
          <w:szCs w:val="14"/>
          <w:color w:val="auto"/>
        </w:rPr>
        <w:t>We have one class of common stock. All holders of our common stock are entitled to the same rights and privileges, as described below.</w:t>
      </w:r>
    </w:p>
    <w:p>
      <w:pPr>
        <w:spacing w:after="0" w:line="164" w:lineRule="exact"/>
        <w:rPr>
          <w:sz w:val="20"/>
          <w:szCs w:val="20"/>
          <w:color w:val="auto"/>
        </w:rPr>
      </w:pPr>
    </w:p>
    <w:p>
      <w:pPr>
        <w:ind w:left="1460" w:right="479" w:firstLine="335"/>
        <w:spacing w:after="0" w:line="273" w:lineRule="auto"/>
        <w:rPr>
          <w:sz w:val="20"/>
          <w:szCs w:val="20"/>
          <w:color w:val="auto"/>
        </w:rPr>
      </w:pPr>
      <w:r>
        <w:rPr>
          <w:rFonts w:ascii="Times New Roman" w:cs="Times New Roman" w:eastAsia="Times New Roman" w:hAnsi="Times New Roman"/>
          <w:sz w:val="14"/>
          <w:szCs w:val="14"/>
          <w:i w:val="1"/>
          <w:iCs w:val="1"/>
          <w:color w:val="auto"/>
        </w:rPr>
        <w:t xml:space="preserve">Voting Rights. </w:t>
      </w:r>
      <w:r>
        <w:rPr>
          <w:rFonts w:ascii="Times New Roman" w:cs="Times New Roman" w:eastAsia="Times New Roman" w:hAnsi="Times New Roman"/>
          <w:sz w:val="14"/>
          <w:szCs w:val="14"/>
          <w:color w:val="auto"/>
        </w:rPr>
        <w:t>Except as otherwise provided by law, each holder of common stock is entitled to one vote per share on each matter submitted to a</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vote at a meeting of stockholders, including the election of directors.</w:t>
      </w:r>
    </w:p>
    <w:p>
      <w:pPr>
        <w:spacing w:after="0" w:line="127" w:lineRule="exact"/>
        <w:rPr>
          <w:sz w:val="20"/>
          <w:szCs w:val="20"/>
          <w:color w:val="auto"/>
        </w:rPr>
      </w:pPr>
    </w:p>
    <w:p>
      <w:pPr>
        <w:ind w:left="1460" w:right="399" w:firstLine="335"/>
        <w:spacing w:after="0" w:line="273" w:lineRule="auto"/>
        <w:rPr>
          <w:sz w:val="20"/>
          <w:szCs w:val="20"/>
          <w:color w:val="auto"/>
        </w:rPr>
      </w:pPr>
      <w:r>
        <w:rPr>
          <w:rFonts w:ascii="Times New Roman" w:cs="Times New Roman" w:eastAsia="Times New Roman" w:hAnsi="Times New Roman"/>
          <w:sz w:val="14"/>
          <w:szCs w:val="14"/>
          <w:i w:val="1"/>
          <w:iCs w:val="1"/>
          <w:color w:val="auto"/>
        </w:rPr>
        <w:t xml:space="preserve">Dividends. </w:t>
      </w:r>
      <w:r>
        <w:rPr>
          <w:rFonts w:ascii="Times New Roman" w:cs="Times New Roman" w:eastAsia="Times New Roman" w:hAnsi="Times New Roman"/>
          <w:sz w:val="14"/>
          <w:szCs w:val="14"/>
          <w:color w:val="auto"/>
        </w:rPr>
        <w:t>The holders of Southwest Gas Holdings, Inc. common stock are entitled to receive such dividends as the Board may from time to time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declare, subject to any rights of holders of outstanding shares of Southwest Gas Holdings, Inc. preferred stock.</w:t>
      </w:r>
    </w:p>
    <w:p>
      <w:pPr>
        <w:spacing w:after="0" w:line="127" w:lineRule="exact"/>
        <w:rPr>
          <w:sz w:val="20"/>
          <w:szCs w:val="20"/>
          <w:color w:val="auto"/>
        </w:rPr>
      </w:pPr>
    </w:p>
    <w:p>
      <w:pPr>
        <w:ind w:left="1460" w:right="399" w:firstLine="335"/>
        <w:spacing w:after="0" w:line="259" w:lineRule="auto"/>
        <w:rPr>
          <w:sz w:val="20"/>
          <w:szCs w:val="20"/>
          <w:color w:val="auto"/>
        </w:rPr>
      </w:pPr>
      <w:r>
        <w:rPr>
          <w:rFonts w:ascii="Times New Roman" w:cs="Times New Roman" w:eastAsia="Times New Roman" w:hAnsi="Times New Roman"/>
          <w:sz w:val="14"/>
          <w:szCs w:val="14"/>
          <w:i w:val="1"/>
          <w:iCs w:val="1"/>
          <w:color w:val="auto"/>
        </w:rPr>
        <w:t xml:space="preserve">Liquidation. </w:t>
      </w:r>
      <w:r>
        <w:rPr>
          <w:rFonts w:ascii="Times New Roman" w:cs="Times New Roman" w:eastAsia="Times New Roman" w:hAnsi="Times New Roman"/>
          <w:sz w:val="14"/>
          <w:szCs w:val="14"/>
          <w:color w:val="auto"/>
        </w:rPr>
        <w:t>In the event of any liquidation, dissolution or winding up of Southwest Gas Holdings, Inc., whether voluntary or involuntary,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holders of shares of Southwest Gas Holdings, Inc. common stock, subject to any rights of the holders of outstanding shares of Southwest Gas Holdings, Inc. preferred stock, are entitled to receive any remaining assets of Southwest Gas Holdings, Inc. after the discharge of its liabilities.</w:t>
      </w:r>
    </w:p>
    <w:p>
      <w:pPr>
        <w:spacing w:after="0" w:line="137" w:lineRule="exact"/>
        <w:rPr>
          <w:sz w:val="20"/>
          <w:szCs w:val="20"/>
          <w:color w:val="auto"/>
        </w:rPr>
      </w:pPr>
    </w:p>
    <w:p>
      <w:pPr>
        <w:ind w:left="1460" w:right="379" w:firstLine="335"/>
        <w:spacing w:after="0" w:line="259" w:lineRule="auto"/>
        <w:rPr>
          <w:sz w:val="20"/>
          <w:szCs w:val="20"/>
          <w:color w:val="auto"/>
        </w:rPr>
      </w:pPr>
      <w:r>
        <w:rPr>
          <w:rFonts w:ascii="Times New Roman" w:cs="Times New Roman" w:eastAsia="Times New Roman" w:hAnsi="Times New Roman"/>
          <w:sz w:val="14"/>
          <w:szCs w:val="14"/>
          <w:i w:val="1"/>
          <w:iCs w:val="1"/>
          <w:color w:val="auto"/>
        </w:rPr>
        <w:t>Rights and Preferences</w:t>
      </w:r>
      <w:r>
        <w:rPr>
          <w:rFonts w:ascii="Times New Roman" w:cs="Times New Roman" w:eastAsia="Times New Roman" w:hAnsi="Times New Roman"/>
          <w:sz w:val="14"/>
          <w:szCs w:val="14"/>
          <w:color w:val="auto"/>
        </w:rPr>
        <w:t>. Holders of Southwest Gas Holdings, Inc. common stock are not entitled to preemptive rights to subscribe for, or purchase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any part of, any new or additional issue of stock or securities convertible into stock. Southwest Gas Holdings, Inc. common stock does not contain any redemption provisions or conversion rights and is not liable to assessment or further call.</w:t>
      </w:r>
    </w:p>
    <w:p>
      <w:pPr>
        <w:spacing w:after="0" w:line="219"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color w:val="auto"/>
        </w:rPr>
        <w:t>Preferred Stock Purchase Rights</w:t>
      </w:r>
    </w:p>
    <w:p>
      <w:pPr>
        <w:spacing w:after="0" w:line="90" w:lineRule="exact"/>
        <w:rPr>
          <w:sz w:val="20"/>
          <w:szCs w:val="20"/>
          <w:color w:val="auto"/>
        </w:rPr>
      </w:pPr>
    </w:p>
    <w:p>
      <w:pPr>
        <w:ind w:left="1460" w:right="399" w:firstLine="335"/>
        <w:spacing w:after="0" w:line="249" w:lineRule="auto"/>
        <w:rPr>
          <w:sz w:val="20"/>
          <w:szCs w:val="20"/>
          <w:color w:val="auto"/>
        </w:rPr>
      </w:pPr>
      <w:r>
        <w:rPr>
          <w:rFonts w:ascii="Times New Roman" w:cs="Times New Roman" w:eastAsia="Times New Roman" w:hAnsi="Times New Roman"/>
          <w:sz w:val="14"/>
          <w:szCs w:val="14"/>
          <w:color w:val="auto"/>
        </w:rPr>
        <w:t>On November 3, 2023, the Board authorized a dividend of one preferred stock purchase right (a “Right”) for each outstanding share of Southwest Gas Holdings, Inc. common stock, which was paid to holders of record of Southwest Gas Holdings, Inc. common stock as of 5:00 P.M., New York City time, on November 17, 2023 (the “Record Date”). The description and terms of the Rights are set forth in the Plan. Each Right entitles the registered holder to purchase from the Company one ten-thousandth (a “Unit”) of a share of Series A Junior Participating Preferred Stock, no par value per share, of the Company (the “Series A Preferred”), at a purchase price of $300.00 per one ten-thousandth of a share of Series A Preferred (the “Purchase Price”), subject to adjustment.</w:t>
      </w:r>
    </w:p>
    <w:p>
      <w:pPr>
        <w:spacing w:after="0" w:line="149" w:lineRule="exact"/>
        <w:rPr>
          <w:sz w:val="20"/>
          <w:szCs w:val="20"/>
          <w:color w:val="auto"/>
        </w:rPr>
      </w:pPr>
    </w:p>
    <w:p>
      <w:pPr>
        <w:ind w:left="1460" w:right="439" w:firstLine="335"/>
        <w:spacing w:after="0" w:line="267" w:lineRule="auto"/>
        <w:rPr>
          <w:sz w:val="20"/>
          <w:szCs w:val="20"/>
          <w:color w:val="auto"/>
        </w:rPr>
      </w:pPr>
      <w:r>
        <w:rPr>
          <w:rFonts w:ascii="Times New Roman" w:cs="Times New Roman" w:eastAsia="Times New Roman" w:hAnsi="Times New Roman"/>
          <w:sz w:val="14"/>
          <w:szCs w:val="14"/>
          <w:color w:val="auto"/>
        </w:rPr>
        <w:t>The Plan is intended to preserve the Company’s ability to effectuate a separation of Centuri Holdings (the “Spin-Off Transaction”) that would be tax-free to the Company (the “Tax-Free Status”), which status could</w:t>
      </w:r>
    </w:p>
    <w:p>
      <w:pPr>
        <w:spacing w:after="0" w:line="84"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10159"/>
          </w:cols>
          <w:pgMar w:left="300" w:top="380" w:right="1440"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4">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44" w:lineRule="exact"/>
        <w:rPr>
          <w:sz w:val="20"/>
          <w:szCs w:val="20"/>
          <w:color w:val="auto"/>
        </w:rPr>
      </w:pPr>
    </w:p>
    <w:p>
      <w:pPr>
        <w:ind w:left="1460" w:right="359"/>
        <w:spacing w:after="0" w:line="256" w:lineRule="auto"/>
        <w:rPr>
          <w:sz w:val="20"/>
          <w:szCs w:val="20"/>
          <w:color w:val="auto"/>
        </w:rPr>
      </w:pPr>
      <w:r>
        <w:rPr>
          <w:rFonts w:ascii="Times New Roman" w:cs="Times New Roman" w:eastAsia="Times New Roman" w:hAnsi="Times New Roman"/>
          <w:sz w:val="14"/>
          <w:szCs w:val="14"/>
          <w:color w:val="auto"/>
        </w:rPr>
        <w:t>be lost if certain stock purchases (including by existing or new holders in the open market) are treated as part of a plan pursuant to which one or more persons directly or indirectly acquire a 50% or greater interest in the Company (a “355 Ownership Change”) within applicable time periods for purposes of Section 355(e) of the Internal Revenue Code of 1986, as amended (the “Code”).</w:t>
      </w:r>
    </w:p>
    <w:p>
      <w:pPr>
        <w:spacing w:after="0" w:line="139" w:lineRule="exact"/>
        <w:rPr>
          <w:sz w:val="20"/>
          <w:szCs w:val="20"/>
          <w:color w:val="auto"/>
        </w:rPr>
      </w:pPr>
    </w:p>
    <w:p>
      <w:pPr>
        <w:ind w:left="1460" w:right="459" w:firstLine="335"/>
        <w:spacing w:after="0" w:line="249" w:lineRule="auto"/>
        <w:rPr>
          <w:sz w:val="20"/>
          <w:szCs w:val="20"/>
          <w:color w:val="auto"/>
        </w:rPr>
      </w:pPr>
      <w:r>
        <w:rPr>
          <w:rFonts w:ascii="Times New Roman" w:cs="Times New Roman" w:eastAsia="Times New Roman" w:hAnsi="Times New Roman"/>
          <w:sz w:val="14"/>
          <w:szCs w:val="14"/>
          <w:i w:val="1"/>
          <w:iCs w:val="1"/>
          <w:color w:val="auto"/>
        </w:rPr>
        <w:t>Distribution Date</w:t>
      </w:r>
      <w:r>
        <w:rPr>
          <w:rFonts w:ascii="Times New Roman" w:cs="Times New Roman" w:eastAsia="Times New Roman" w:hAnsi="Times New Roman"/>
          <w:sz w:val="14"/>
          <w:szCs w:val="14"/>
          <w:color w:val="auto"/>
        </w:rPr>
        <w:t>. Initially, the Rights will be attached to all shares of Southwest Gas Holdings, Inc. common stock, and no separate certificates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evidencing the Rights will be issued. Subject to certain exceptions, until the Distribution Date (as defined below), the Company will issue one Right with each new share of Southwest Gas Holdings, Inc. common stock issued after the Record Date so that all shares of Southwest Gas Holdings, Inc. common stock will have Rights attached, the Rights will be transferred with and only with Southwest Gas Holdings, Inc. common stock, and any transfer of Southwest Gas Holdings, Inc. common stock will constitute a transfer of the associated Rights. After the Distribution Date, the Rights will separate from the Southwest Gas Holdings, Inc. common stock and, as soon as practicable after the Distribution Date, separate certificates evidencing the Rights (“Rights Certificates”) will be mailed to holders of record of Southwest Gas Holdings, Inc. common stock as of the close of business on the Distribution Date and such separate Rights Certificates alone will evidence the Rights.</w:t>
      </w:r>
    </w:p>
    <w:p>
      <w:pPr>
        <w:spacing w:after="0" w:line="148"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4"/>
          <w:szCs w:val="14"/>
          <w:color w:val="auto"/>
        </w:rPr>
        <w:t>The “Distribution Date” means the earlier of:</w:t>
      </w:r>
    </w:p>
    <w:p>
      <w:pPr>
        <w:spacing w:after="0" w:line="96" w:lineRule="exact"/>
        <w:rPr>
          <w:sz w:val="20"/>
          <w:szCs w:val="20"/>
          <w:color w:val="auto"/>
        </w:rPr>
      </w:pPr>
    </w:p>
    <w:p>
      <w:pPr>
        <w:ind w:left="2200" w:right="379" w:hanging="338"/>
        <w:spacing w:after="0" w:line="267" w:lineRule="auto"/>
        <w:tabs>
          <w:tab w:leader="none" w:pos="22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ten business days after the public announcement that a person or group of affiliated or associated persons has become an Acquiring Person (as defined below) or such earlier date, as a majority of the Board becomes aware of the existence of an Acquiring Person; and</w:t>
      </w:r>
    </w:p>
    <w:p>
      <w:pPr>
        <w:spacing w:after="0" w:line="63" w:lineRule="exact"/>
        <w:rPr>
          <w:rFonts w:ascii="Times New Roman" w:cs="Times New Roman" w:eastAsia="Times New Roman" w:hAnsi="Times New Roman"/>
          <w:sz w:val="14"/>
          <w:szCs w:val="14"/>
          <w:color w:val="auto"/>
        </w:rPr>
      </w:pPr>
    </w:p>
    <w:p>
      <w:pPr>
        <w:ind w:left="2200" w:right="399" w:hanging="338"/>
        <w:spacing w:after="0" w:line="252" w:lineRule="auto"/>
        <w:tabs>
          <w:tab w:leader="none" w:pos="22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date (prior to such time as any person or group of affiliated or associated persons becomes an Acquiring Person), if any, as may be determined by the Board following the commencement of, or the first public announcement of an intention to commence, a tender offer or exchange offer the consummation of which would result in any person or group of affiliated or associated persons becoming an Acquiring Person.</w:t>
      </w:r>
    </w:p>
    <w:p>
      <w:pPr>
        <w:spacing w:after="0" w:line="142" w:lineRule="exact"/>
        <w:rPr>
          <w:sz w:val="20"/>
          <w:szCs w:val="20"/>
          <w:color w:val="auto"/>
        </w:rPr>
      </w:pPr>
    </w:p>
    <w:p>
      <w:pPr>
        <w:ind w:left="1460" w:right="699" w:firstLine="335"/>
        <w:spacing w:after="0" w:line="259" w:lineRule="auto"/>
        <w:rPr>
          <w:sz w:val="20"/>
          <w:szCs w:val="20"/>
          <w:color w:val="auto"/>
        </w:rPr>
      </w:pPr>
      <w:r>
        <w:rPr>
          <w:rFonts w:ascii="Times New Roman" w:cs="Times New Roman" w:eastAsia="Times New Roman" w:hAnsi="Times New Roman"/>
          <w:sz w:val="14"/>
          <w:szCs w:val="14"/>
          <w:i w:val="1"/>
          <w:iCs w:val="1"/>
          <w:color w:val="auto"/>
        </w:rPr>
        <w:t>Exercisability</w:t>
      </w:r>
      <w:r>
        <w:rPr>
          <w:rFonts w:ascii="Times New Roman" w:cs="Times New Roman" w:eastAsia="Times New Roman" w:hAnsi="Times New Roman"/>
          <w:sz w:val="14"/>
          <w:szCs w:val="14"/>
          <w:color w:val="auto"/>
        </w:rPr>
        <w:t>. The Rights will not be exercisable until the Distribution Date. After the Distribution Date, each Right will be exercisable 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purchase from the Company one ten-thousandth of a share of Series A Preferred for the Purchase Price. Prior to exercising their Rights, holders of Rights in that capacity have no rights as a stockholder of the Company, including the right to vote or receive dividends.</w:t>
      </w:r>
    </w:p>
    <w:p>
      <w:pPr>
        <w:spacing w:after="0" w:line="137"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4"/>
          <w:szCs w:val="14"/>
          <w:i w:val="1"/>
          <w:iCs w:val="1"/>
          <w:color w:val="auto"/>
        </w:rPr>
        <w:t>Consequences of a Person or Group Becoming an Acquiring Person</w:t>
      </w:r>
      <w:r>
        <w:rPr>
          <w:rFonts w:ascii="Times New Roman" w:cs="Times New Roman" w:eastAsia="Times New Roman" w:hAnsi="Times New Roman"/>
          <w:sz w:val="14"/>
          <w:szCs w:val="14"/>
          <w:color w:val="auto"/>
        </w:rPr>
        <w:t>.</w:t>
      </w:r>
    </w:p>
    <w:p>
      <w:pPr>
        <w:spacing w:after="0" w:line="96" w:lineRule="exact"/>
        <w:rPr>
          <w:sz w:val="20"/>
          <w:szCs w:val="20"/>
          <w:color w:val="auto"/>
        </w:rPr>
      </w:pPr>
    </w:p>
    <w:p>
      <w:pPr>
        <w:ind w:left="2200" w:right="439" w:hanging="338"/>
        <w:spacing w:after="0" w:line="254" w:lineRule="auto"/>
        <w:tabs>
          <w:tab w:leader="none" w:pos="22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Flip-In Trigger</w:t>
      </w:r>
      <w:r>
        <w:rPr>
          <w:rFonts w:ascii="Times New Roman" w:cs="Times New Roman" w:eastAsia="Times New Roman" w:hAnsi="Times New Roman"/>
          <w:sz w:val="14"/>
          <w:szCs w:val="14"/>
          <w:color w:val="auto"/>
        </w:rPr>
        <w:t>. If any person or group becomes an Acquiring Person, each holder of a Right (other than Rights beneficially owned by an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Acquiring Person, affiliates and associates of an Acquiring Person and certain transferees thereof, which Rights will thereupon become null and void) will thereafter have the right to receive upon exercise of a Right that number of shares of Southwest Gas Holdings, Inc. common stock having a market value of two times the Purchase Price.</w:t>
      </w:r>
    </w:p>
    <w:p>
      <w:pPr>
        <w:spacing w:after="0" w:line="68" w:lineRule="exact"/>
        <w:rPr>
          <w:rFonts w:ascii="Times New Roman" w:cs="Times New Roman" w:eastAsia="Times New Roman" w:hAnsi="Times New Roman"/>
          <w:sz w:val="14"/>
          <w:szCs w:val="14"/>
          <w:color w:val="auto"/>
        </w:rPr>
      </w:pPr>
    </w:p>
    <w:p>
      <w:pPr>
        <w:ind w:left="2200" w:right="419" w:hanging="338"/>
        <w:spacing w:after="0" w:line="250" w:lineRule="auto"/>
        <w:tabs>
          <w:tab w:leader="none" w:pos="22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Flip-Over Trigger</w:t>
      </w:r>
      <w:r>
        <w:rPr>
          <w:rFonts w:ascii="Times New Roman" w:cs="Times New Roman" w:eastAsia="Times New Roman" w:hAnsi="Times New Roman"/>
          <w:sz w:val="14"/>
          <w:szCs w:val="14"/>
          <w:color w:val="auto"/>
        </w:rPr>
        <w:t>. If, after any person or group has become an Acquiring Person, the Company is acquired in a merger, consolidation or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combination or 50% or more of its consolidated assets, cash flow or earning power are transferred, proper provisions will be made so that each holder of a Right (other than Rights beneficially owned by an Acquiring Person, affiliates and associates of an Acquiring Person and certain transferees thereof, which Rights will have become null and void) will thereafter have the right to receive upon the exercise of a Right that number of shares of common stock of the person (or its parent) with whom the Company has engaged in the foregoing transaction having a market value of two times the Purchase Price.</w:t>
      </w:r>
    </w:p>
    <w:p>
      <w:pPr>
        <w:spacing w:after="0" w:line="72" w:lineRule="exact"/>
        <w:rPr>
          <w:rFonts w:ascii="Times New Roman" w:cs="Times New Roman" w:eastAsia="Times New Roman" w:hAnsi="Times New Roman"/>
          <w:sz w:val="14"/>
          <w:szCs w:val="14"/>
          <w:color w:val="auto"/>
        </w:rPr>
      </w:pPr>
    </w:p>
    <w:p>
      <w:pPr>
        <w:ind w:left="2200" w:right="399" w:hanging="338"/>
        <w:spacing w:after="0" w:line="259" w:lineRule="auto"/>
        <w:tabs>
          <w:tab w:leader="none" w:pos="22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Exchange Feature</w:t>
      </w:r>
      <w:r>
        <w:rPr>
          <w:rFonts w:ascii="Times New Roman" w:cs="Times New Roman" w:eastAsia="Times New Roman" w:hAnsi="Times New Roman"/>
          <w:sz w:val="14"/>
          <w:szCs w:val="14"/>
          <w:color w:val="auto"/>
        </w:rPr>
        <w:t>. At any time after any person or group becomes an Acquiring Person and prior to the earlier of one of the events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described in the previous paragraph or the acquisition by an Acquiring Person of 50% or more of the outstanding shares of Southwest Gas Holdings, Inc. common stock, the</w:t>
      </w:r>
    </w:p>
    <w:p>
      <w:pPr>
        <w:spacing w:after="0" w:line="89"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10159"/>
          </w:cols>
          <w:pgMar w:left="300" w:top="380" w:right="1440"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5">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44" w:lineRule="exact"/>
        <w:rPr>
          <w:sz w:val="20"/>
          <w:szCs w:val="20"/>
          <w:color w:val="auto"/>
        </w:rPr>
      </w:pPr>
    </w:p>
    <w:p>
      <w:pPr>
        <w:ind w:left="2200" w:right="439"/>
        <w:spacing w:after="0" w:line="252" w:lineRule="auto"/>
        <w:rPr>
          <w:sz w:val="20"/>
          <w:szCs w:val="20"/>
          <w:color w:val="auto"/>
        </w:rPr>
      </w:pPr>
      <w:r>
        <w:rPr>
          <w:rFonts w:ascii="Times New Roman" w:cs="Times New Roman" w:eastAsia="Times New Roman" w:hAnsi="Times New Roman"/>
          <w:sz w:val="14"/>
          <w:szCs w:val="14"/>
          <w:color w:val="auto"/>
        </w:rPr>
        <w:t>Board may exchange the Rights (other than Rights owned by an Acquiring Person, affiliates and associates of an Acquiring Person and certain transferees thereof, which Rights will have become null and void), in whole or in part, for shares of Southwest Gas Holdings, Inc. common stock or fractions of Series A Preferred (such a share of Southwest Gas Holdings, Inc. common stock or a fraction of Series A Preferred, as applicable, an “Exchange Security”), at an exchange ratio of one Exchange Security per Right.</w:t>
      </w:r>
    </w:p>
    <w:p>
      <w:pPr>
        <w:spacing w:after="0" w:line="142" w:lineRule="exact"/>
        <w:rPr>
          <w:sz w:val="20"/>
          <w:szCs w:val="20"/>
          <w:color w:val="auto"/>
        </w:rPr>
      </w:pPr>
    </w:p>
    <w:p>
      <w:pPr>
        <w:ind w:left="1460" w:right="359" w:firstLine="335"/>
        <w:spacing w:after="0" w:line="269" w:lineRule="auto"/>
        <w:rPr>
          <w:sz w:val="20"/>
          <w:szCs w:val="20"/>
          <w:color w:val="auto"/>
        </w:rPr>
      </w:pPr>
      <w:r>
        <w:rPr>
          <w:rFonts w:ascii="Times New Roman" w:cs="Times New Roman" w:eastAsia="Times New Roman" w:hAnsi="Times New Roman"/>
          <w:sz w:val="13"/>
          <w:szCs w:val="13"/>
          <w:i w:val="1"/>
          <w:iCs w:val="1"/>
          <w:color w:val="auto"/>
        </w:rPr>
        <w:t>Expiration</w:t>
      </w:r>
      <w:r>
        <w:rPr>
          <w:rFonts w:ascii="Times New Roman" w:cs="Times New Roman" w:eastAsia="Times New Roman" w:hAnsi="Times New Roman"/>
          <w:sz w:val="13"/>
          <w:szCs w:val="13"/>
          <w:color w:val="auto"/>
        </w:rPr>
        <w:t>. The Rights will expire on the earliest of (a) the close of business on the date that is two years after the date on which the Spin-Off</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Transaction is consummated (consistent with a presumption period for testing for a 355 Ownership Change), (b) the close of business on the date on which the Board determines to no longer pursue the Spin-Off Transaction or that the Spin-Off Transaction will not be consummated with Tax-Free Status, (c) the time at which the Rights are redeemed or exchanged pursuant to the Plan, (d) the close of business on the business day following the certification of the voting results of the Company’s 2024 annual stockholders meeting, if at such meeting the approval of the Plan has not been obtained,</w:t>
      </w:r>
    </w:p>
    <w:p>
      <w:pPr>
        <w:ind w:left="1460" w:right="439" w:hanging="9"/>
        <w:spacing w:after="0" w:line="246" w:lineRule="auto"/>
        <w:tabs>
          <w:tab w:leader="none" w:pos="1646"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close of business on the day that is 270 days after the date of the Plan, if the approval of the Company’s stockholders has not been obtained by such date and only if as of such date the Amended and Restated Cooperation Agreement, dated as of October 24, 2022, by and among the Icahn Group (as defined in the Plan) and the Company (as it may be amended, modified, supplemented and/or amended and restated in accordance with the terms thereof from time to time) remains in effect and the Icahn Ownership Event (as defined in the Plan) has not occurred or (f) the time at which the Board determines that there is no longer a risk of a 355 Ownership Change occurring or that a 355 Ownership Change would not in any material respect adversely impact or otherwise impair the Tax-Free Status.</w:t>
      </w:r>
    </w:p>
    <w:p>
      <w:pPr>
        <w:spacing w:after="0" w:line="145" w:lineRule="exact"/>
        <w:rPr>
          <w:sz w:val="20"/>
          <w:szCs w:val="20"/>
          <w:color w:val="auto"/>
        </w:rPr>
      </w:pPr>
    </w:p>
    <w:p>
      <w:pPr>
        <w:ind w:left="1460" w:right="339" w:firstLine="335"/>
        <w:spacing w:after="0" w:line="249" w:lineRule="auto"/>
        <w:rPr>
          <w:sz w:val="20"/>
          <w:szCs w:val="20"/>
          <w:color w:val="auto"/>
        </w:rPr>
      </w:pPr>
      <w:r>
        <w:rPr>
          <w:rFonts w:ascii="Times New Roman" w:cs="Times New Roman" w:eastAsia="Times New Roman" w:hAnsi="Times New Roman"/>
          <w:sz w:val="14"/>
          <w:szCs w:val="14"/>
          <w:i w:val="1"/>
          <w:iCs w:val="1"/>
          <w:color w:val="auto"/>
        </w:rPr>
        <w:t>Process to Seek Exemption</w:t>
      </w:r>
      <w:r>
        <w:rPr>
          <w:rFonts w:ascii="Times New Roman" w:cs="Times New Roman" w:eastAsia="Times New Roman" w:hAnsi="Times New Roman"/>
          <w:sz w:val="14"/>
          <w:szCs w:val="14"/>
          <w:color w:val="auto"/>
        </w:rPr>
        <w:t>. The Plan includes procedures by which the Board will consider requests, prior to the date of public announcement that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 person has become an Acquiring Person, from any person who desires to effect any acquisition of Southwest Gas Holdings, Inc. common stock that would, if consummated, result in such person beneficially owning 4.9% (9.9% in the case of a passive investor or, in the case of the Icahn Group or any member of the Icahn Group, the applicable amounts set forth in the Plan) or more of the then outstanding shares of Southwest Gas Holdings, Inc. common stock. The Board will only grant an exemption in response to an exemption request if the Board determines that the acquisition of shares of Southwest Gas Holdings, Inc. common stock by the requesting person (A) will not in any material respect adversely impact or otherwise impair the Tax-Free Status or (B) is in the best interests of the Company despite the fact that it may adversely impact in a material respect or otherwise impair the Tax-Free Status.</w:t>
      </w:r>
    </w:p>
    <w:p>
      <w:pPr>
        <w:spacing w:after="0" w:line="144" w:lineRule="exact"/>
        <w:rPr>
          <w:sz w:val="20"/>
          <w:szCs w:val="20"/>
          <w:color w:val="auto"/>
        </w:rPr>
      </w:pPr>
    </w:p>
    <w:p>
      <w:pPr>
        <w:ind w:left="1460" w:right="439" w:firstLine="335"/>
        <w:spacing w:after="0" w:line="280" w:lineRule="auto"/>
        <w:rPr>
          <w:sz w:val="20"/>
          <w:szCs w:val="20"/>
          <w:color w:val="auto"/>
        </w:rPr>
      </w:pPr>
      <w:r>
        <w:rPr>
          <w:rFonts w:ascii="Times New Roman" w:cs="Times New Roman" w:eastAsia="Times New Roman" w:hAnsi="Times New Roman"/>
          <w:sz w:val="13"/>
          <w:szCs w:val="13"/>
          <w:i w:val="1"/>
          <w:iCs w:val="1"/>
          <w:color w:val="auto"/>
        </w:rPr>
        <w:t>Redemption of the Rights</w:t>
      </w:r>
      <w:r>
        <w:rPr>
          <w:rFonts w:ascii="Times New Roman" w:cs="Times New Roman" w:eastAsia="Times New Roman" w:hAnsi="Times New Roman"/>
          <w:sz w:val="13"/>
          <w:szCs w:val="13"/>
          <w:color w:val="auto"/>
        </w:rPr>
        <w:t>. At any time before the Distribution Date, the Board may redeem the Rights in whole, but not in part, for $0.0001 per</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Right (the “Redemption Price”). The Redemption Price is payable, at the option of the Company, in cash, Southwest Gas Holdings, Inc. common stock or such other form of consideration as the Board shall determine. Immediately upon any redemption of the Rights, the right to exercise the Rights will terminate and the only right of the holders of Rights will be to receive the Redemption Price. The Redemption Price will be subject to adjustment.</w:t>
      </w:r>
    </w:p>
    <w:p>
      <w:pPr>
        <w:spacing w:after="0" w:line="125" w:lineRule="exact"/>
        <w:rPr>
          <w:sz w:val="20"/>
          <w:szCs w:val="20"/>
          <w:color w:val="auto"/>
        </w:rPr>
      </w:pPr>
    </w:p>
    <w:p>
      <w:pPr>
        <w:ind w:left="1460" w:right="679" w:firstLine="335"/>
        <w:spacing w:after="0" w:line="259" w:lineRule="auto"/>
        <w:rPr>
          <w:sz w:val="20"/>
          <w:szCs w:val="20"/>
          <w:color w:val="auto"/>
        </w:rPr>
      </w:pPr>
      <w:r>
        <w:rPr>
          <w:rFonts w:ascii="Times New Roman" w:cs="Times New Roman" w:eastAsia="Times New Roman" w:hAnsi="Times New Roman"/>
          <w:sz w:val="14"/>
          <w:szCs w:val="14"/>
          <w:i w:val="1"/>
          <w:iCs w:val="1"/>
          <w:color w:val="auto"/>
        </w:rPr>
        <w:t>Amendment</w:t>
      </w:r>
      <w:r>
        <w:rPr>
          <w:rFonts w:ascii="Times New Roman" w:cs="Times New Roman" w:eastAsia="Times New Roman" w:hAnsi="Times New Roman"/>
          <w:sz w:val="14"/>
          <w:szCs w:val="14"/>
          <w:color w:val="auto"/>
        </w:rPr>
        <w:t>. For so long as the Rights are then redeemable, the Company may amend the Plan in any manner. After the Rights are no longer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redeemable, the Company may amend the Plan in any manner that does not adversely affect the interests of holders of the Rights (other than an Acquiring Person, affiliates and associates of an Acquiring Person and certain transferees thereof).</w:t>
      </w:r>
    </w:p>
    <w:p>
      <w:pPr>
        <w:spacing w:after="0" w:line="137" w:lineRule="exact"/>
        <w:rPr>
          <w:sz w:val="20"/>
          <w:szCs w:val="20"/>
          <w:color w:val="auto"/>
        </w:rPr>
      </w:pPr>
    </w:p>
    <w:p>
      <w:pPr>
        <w:ind w:left="1460" w:right="439" w:firstLine="335"/>
        <w:spacing w:after="0" w:line="288" w:lineRule="auto"/>
        <w:rPr>
          <w:sz w:val="20"/>
          <w:szCs w:val="20"/>
          <w:color w:val="auto"/>
        </w:rPr>
      </w:pPr>
      <w:r>
        <w:rPr>
          <w:rFonts w:ascii="Times New Roman" w:cs="Times New Roman" w:eastAsia="Times New Roman" w:hAnsi="Times New Roman"/>
          <w:sz w:val="13"/>
          <w:szCs w:val="13"/>
          <w:i w:val="1"/>
          <w:iCs w:val="1"/>
          <w:color w:val="auto"/>
        </w:rPr>
        <w:t>Anti-Dilution Provisions</w:t>
      </w:r>
      <w:r>
        <w:rPr>
          <w:rFonts w:ascii="Times New Roman" w:cs="Times New Roman" w:eastAsia="Times New Roman" w:hAnsi="Times New Roman"/>
          <w:sz w:val="13"/>
          <w:szCs w:val="13"/>
          <w:color w:val="auto"/>
        </w:rPr>
        <w:t>. The Board may adjust the Purchase Price, the number of shares of Series A Preferred issuable and the number of</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outstanding Rights to prevent dilution that may occur from a stock dividend, a stock split, a reclassification of the Series A Preferred or Southwest Gas Holdings, Inc. common stock or certain other specified transactions. No adjustments to the Purchase Price of less than 1% are required to be made.</w:t>
      </w:r>
    </w:p>
    <w:p>
      <w:pPr>
        <w:spacing w:after="0" w:line="7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10159"/>
          </w:cols>
          <w:pgMar w:left="300" w:top="380" w:right="1440"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6">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40"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4"/>
          <w:szCs w:val="14"/>
          <w:i w:val="1"/>
          <w:iCs w:val="1"/>
          <w:color w:val="auto"/>
        </w:rPr>
        <w:t>Preferred Stock</w:t>
      </w:r>
      <w:r>
        <w:rPr>
          <w:rFonts w:ascii="Times New Roman" w:cs="Times New Roman" w:eastAsia="Times New Roman" w:hAnsi="Times New Roman"/>
          <w:sz w:val="14"/>
          <w:szCs w:val="14"/>
          <w:color w:val="auto"/>
        </w:rPr>
        <w:t>. Each one ten-thousandth of a share of Series A Preferred, if issued:</w:t>
      </w:r>
    </w:p>
    <w:p>
      <w:pPr>
        <w:spacing w:after="0" w:line="100" w:lineRule="exact"/>
        <w:rPr>
          <w:sz w:val="20"/>
          <w:szCs w:val="20"/>
          <w:color w:val="auto"/>
        </w:rPr>
      </w:pPr>
    </w:p>
    <w:p>
      <w:pPr>
        <w:ind w:left="2200" w:hanging="338"/>
        <w:spacing w:after="0"/>
        <w:tabs>
          <w:tab w:leader="none" w:pos="220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Will not be redeemable.</w:t>
      </w:r>
    </w:p>
    <w:p>
      <w:pPr>
        <w:spacing w:after="0" w:line="95" w:lineRule="exact"/>
        <w:rPr>
          <w:rFonts w:ascii="Times New Roman" w:cs="Times New Roman" w:eastAsia="Times New Roman" w:hAnsi="Times New Roman"/>
          <w:sz w:val="14"/>
          <w:szCs w:val="14"/>
          <w:color w:val="auto"/>
        </w:rPr>
      </w:pPr>
    </w:p>
    <w:p>
      <w:pPr>
        <w:ind w:left="2200" w:right="379" w:hanging="338"/>
        <w:spacing w:after="0" w:line="267" w:lineRule="auto"/>
        <w:tabs>
          <w:tab w:leader="none" w:pos="220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Will entitle holders to quarterly dividend payments of $.001 per one ten-thousandth of a share of Series A Preferred, or an amount equal to the dividend paid on one share of Southwest Gas Holdings, Inc. common stock, whichever is greater.</w:t>
      </w:r>
    </w:p>
    <w:p>
      <w:pPr>
        <w:spacing w:after="0" w:line="63" w:lineRule="exact"/>
        <w:rPr>
          <w:rFonts w:ascii="Times New Roman" w:cs="Times New Roman" w:eastAsia="Times New Roman" w:hAnsi="Times New Roman"/>
          <w:sz w:val="14"/>
          <w:szCs w:val="14"/>
          <w:color w:val="auto"/>
        </w:rPr>
      </w:pPr>
    </w:p>
    <w:p>
      <w:pPr>
        <w:ind w:left="2200" w:right="399" w:hanging="338"/>
        <w:spacing w:after="0" w:line="267" w:lineRule="auto"/>
        <w:tabs>
          <w:tab w:leader="none" w:pos="220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Will entitle holders upon liquidation either to receive $.001 per one ten-thousandth of a share of Series A Preferred, or an amount equal to the payment made on one share of Southwest Gas Holdings, Inc. common stock, whichever is greater.</w:t>
      </w:r>
    </w:p>
    <w:p>
      <w:pPr>
        <w:spacing w:after="0" w:line="63" w:lineRule="exact"/>
        <w:rPr>
          <w:rFonts w:ascii="Times New Roman" w:cs="Times New Roman" w:eastAsia="Times New Roman" w:hAnsi="Times New Roman"/>
          <w:sz w:val="14"/>
          <w:szCs w:val="14"/>
          <w:color w:val="auto"/>
        </w:rPr>
      </w:pPr>
    </w:p>
    <w:p>
      <w:pPr>
        <w:ind w:left="2200" w:hanging="338"/>
        <w:spacing w:after="0"/>
        <w:tabs>
          <w:tab w:leader="none" w:pos="220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Will have the same voting power as one share of Southwest Gas Holdings, Inc. common stock.</w:t>
      </w:r>
    </w:p>
    <w:p>
      <w:pPr>
        <w:spacing w:after="0" w:line="95" w:lineRule="exact"/>
        <w:rPr>
          <w:rFonts w:ascii="Times New Roman" w:cs="Times New Roman" w:eastAsia="Times New Roman" w:hAnsi="Times New Roman"/>
          <w:sz w:val="14"/>
          <w:szCs w:val="14"/>
          <w:color w:val="auto"/>
        </w:rPr>
      </w:pPr>
    </w:p>
    <w:p>
      <w:pPr>
        <w:ind w:left="2200" w:right="379" w:hanging="338"/>
        <w:spacing w:after="0" w:line="267" w:lineRule="auto"/>
        <w:tabs>
          <w:tab w:leader="none" w:pos="220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shares of Southwest Gas Holdings, Inc. common stock are exchanged as a result of a merger, consolidation, or a similar transaction, will entitle holders to a per share payment equal to the payment made on one share of Southwest Gas Holdings, Inc. common stock.</w:t>
      </w:r>
    </w:p>
    <w:p>
      <w:pPr>
        <w:spacing w:after="0" w:line="135"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4"/>
          <w:szCs w:val="14"/>
          <w:color w:val="auto"/>
        </w:rPr>
        <w:t>The value of one ten-thousandth of a share of Series A Preferred should approximate the value of one share of Southwest Gas Holdings, Inc.</w:t>
      </w:r>
    </w:p>
    <w:p>
      <w:pPr>
        <w:spacing w:after="0" w:line="15"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color w:val="auto"/>
        </w:rPr>
        <w:t>common stock.</w:t>
      </w:r>
    </w:p>
    <w:p>
      <w:pPr>
        <w:spacing w:after="0" w:line="234"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color w:val="auto"/>
        </w:rPr>
        <w:t>Preferred Stock</w:t>
      </w:r>
    </w:p>
    <w:p>
      <w:pPr>
        <w:spacing w:after="0" w:line="90" w:lineRule="exact"/>
        <w:rPr>
          <w:sz w:val="20"/>
          <w:szCs w:val="20"/>
          <w:color w:val="auto"/>
        </w:rPr>
      </w:pPr>
    </w:p>
    <w:p>
      <w:pPr>
        <w:ind w:left="1460" w:right="339" w:firstLine="335"/>
        <w:spacing w:after="0" w:line="256" w:lineRule="auto"/>
        <w:rPr>
          <w:sz w:val="20"/>
          <w:szCs w:val="20"/>
          <w:color w:val="auto"/>
        </w:rPr>
      </w:pPr>
      <w:r>
        <w:rPr>
          <w:rFonts w:ascii="Times New Roman" w:cs="Times New Roman" w:eastAsia="Times New Roman" w:hAnsi="Times New Roman"/>
          <w:sz w:val="14"/>
          <w:szCs w:val="14"/>
          <w:color w:val="auto"/>
        </w:rPr>
        <w:t>Our certificate of incorporation authorizes the Board, without further action by the stockholders, to issue up to 5,000,000 shares of preferred stock, without par value, in one or more series and to fix the rights, preferences, privileges and restrictions granted to, or imposed upon, any such wholly unissued series.</w:t>
      </w:r>
    </w:p>
    <w:p>
      <w:pPr>
        <w:spacing w:after="0" w:line="221"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color w:val="auto"/>
        </w:rPr>
        <w:t>Certain Anti-Takeover Matters</w:t>
      </w:r>
    </w:p>
    <w:p>
      <w:pPr>
        <w:spacing w:after="0" w:line="90" w:lineRule="exact"/>
        <w:rPr>
          <w:sz w:val="20"/>
          <w:szCs w:val="20"/>
          <w:color w:val="auto"/>
        </w:rPr>
      </w:pPr>
    </w:p>
    <w:p>
      <w:pPr>
        <w:jc w:val="both"/>
        <w:ind w:left="1460" w:right="559" w:firstLine="335"/>
        <w:spacing w:after="0" w:line="256" w:lineRule="auto"/>
        <w:rPr>
          <w:sz w:val="20"/>
          <w:szCs w:val="20"/>
          <w:color w:val="auto"/>
        </w:rPr>
      </w:pPr>
      <w:r>
        <w:rPr>
          <w:rFonts w:ascii="Times New Roman" w:cs="Times New Roman" w:eastAsia="Times New Roman" w:hAnsi="Times New Roman"/>
          <w:sz w:val="14"/>
          <w:szCs w:val="14"/>
          <w:color w:val="auto"/>
        </w:rPr>
        <w:t>Our certificate of incorporation, bylaws and the Plan contain provisions that may have the effect of discouraging persons from acquiring large blocks of Southwest Gas Holdings, Inc. stock or delaying or preventing a change in control of Southwest Gas Holdings, Inc. The material provisions which may have such an effect are:</w:t>
      </w:r>
    </w:p>
    <w:p>
      <w:pPr>
        <w:spacing w:after="0" w:line="71" w:lineRule="exact"/>
        <w:rPr>
          <w:sz w:val="20"/>
          <w:szCs w:val="20"/>
          <w:color w:val="auto"/>
        </w:rPr>
      </w:pPr>
    </w:p>
    <w:p>
      <w:pPr>
        <w:ind w:left="2200" w:hanging="338"/>
        <w:spacing w:after="0"/>
        <w:tabs>
          <w:tab w:leader="none" w:pos="22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provisions requiring a super-majority vote by holders of common stock in order to approve certain types of business combinations;</w:t>
      </w:r>
    </w:p>
    <w:p>
      <w:pPr>
        <w:spacing w:after="0" w:line="95" w:lineRule="exact"/>
        <w:rPr>
          <w:rFonts w:ascii="Times New Roman" w:cs="Times New Roman" w:eastAsia="Times New Roman" w:hAnsi="Times New Roman"/>
          <w:sz w:val="14"/>
          <w:szCs w:val="14"/>
          <w:color w:val="auto"/>
        </w:rPr>
      </w:pPr>
    </w:p>
    <w:p>
      <w:pPr>
        <w:ind w:left="2200" w:hanging="338"/>
        <w:spacing w:after="0"/>
        <w:tabs>
          <w:tab w:leader="none" w:pos="22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provision permitting the Board to make, amend or repeal the bylaws;</w:t>
      </w:r>
    </w:p>
    <w:p>
      <w:pPr>
        <w:spacing w:after="0" w:line="95" w:lineRule="exact"/>
        <w:rPr>
          <w:rFonts w:ascii="Times New Roman" w:cs="Times New Roman" w:eastAsia="Times New Roman" w:hAnsi="Times New Roman"/>
          <w:sz w:val="14"/>
          <w:szCs w:val="14"/>
          <w:color w:val="auto"/>
        </w:rPr>
      </w:pPr>
    </w:p>
    <w:p>
      <w:pPr>
        <w:ind w:left="2200" w:right="439" w:hanging="338"/>
        <w:spacing w:after="0" w:line="256" w:lineRule="auto"/>
        <w:tabs>
          <w:tab w:leader="none" w:pos="22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authorization for the Board to issue preferred stock in series and to fix rights and preferences of the series (including, among other things, whether, and to what extent, the shares of any series will have voting rights and the extent of the preferences of the shares of any series with respect to dividends and other matters);</w:t>
      </w:r>
    </w:p>
    <w:p>
      <w:pPr>
        <w:spacing w:after="0" w:line="70" w:lineRule="exact"/>
        <w:rPr>
          <w:rFonts w:ascii="Times New Roman" w:cs="Times New Roman" w:eastAsia="Times New Roman" w:hAnsi="Times New Roman"/>
          <w:sz w:val="14"/>
          <w:szCs w:val="14"/>
          <w:color w:val="auto"/>
        </w:rPr>
      </w:pPr>
    </w:p>
    <w:p>
      <w:pPr>
        <w:ind w:left="2200" w:hanging="338"/>
        <w:spacing w:after="0"/>
        <w:tabs>
          <w:tab w:leader="none" w:pos="22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advance notice procedures with respect to proposals other than those adopted or recommended by the Board;</w:t>
      </w:r>
    </w:p>
    <w:p>
      <w:pPr>
        <w:spacing w:after="0" w:line="95" w:lineRule="exact"/>
        <w:rPr>
          <w:rFonts w:ascii="Times New Roman" w:cs="Times New Roman" w:eastAsia="Times New Roman" w:hAnsi="Times New Roman"/>
          <w:sz w:val="14"/>
          <w:szCs w:val="14"/>
          <w:color w:val="auto"/>
        </w:rPr>
      </w:pPr>
    </w:p>
    <w:p>
      <w:pPr>
        <w:ind w:left="2200" w:right="659" w:hanging="338"/>
        <w:spacing w:after="0" w:line="267" w:lineRule="auto"/>
        <w:tabs>
          <w:tab w:leader="none" w:pos="22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provisions permitting amendment of certain of these provisions only by an affirmative vote of the holders of at least 65 percent of the outstanding shares of Southwest Gas Holdings, Inc. common stock entitled to vote; and</w:t>
      </w:r>
    </w:p>
    <w:p>
      <w:pPr>
        <w:spacing w:after="0" w:line="63" w:lineRule="exact"/>
        <w:rPr>
          <w:rFonts w:ascii="Times New Roman" w:cs="Times New Roman" w:eastAsia="Times New Roman" w:hAnsi="Times New Roman"/>
          <w:sz w:val="14"/>
          <w:szCs w:val="14"/>
          <w:color w:val="auto"/>
        </w:rPr>
      </w:pPr>
    </w:p>
    <w:p>
      <w:pPr>
        <w:jc w:val="both"/>
        <w:ind w:left="2200" w:right="379" w:hanging="338"/>
        <w:spacing w:after="0" w:line="256" w:lineRule="auto"/>
        <w:tabs>
          <w:tab w:leader="none" w:pos="22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provisions requiring director nominees nominated by a stockholder (each such person, a “Stockholder Nominee”) for election to the Board to provide us with certain information with respect to information and agreements between the Stockholder Nominee and any Stockholder Associated Person (as defined in our amended and restated bylaws).</w:t>
      </w:r>
    </w:p>
    <w:p>
      <w:pPr>
        <w:spacing w:after="0" w:line="143" w:lineRule="exact"/>
        <w:rPr>
          <w:sz w:val="20"/>
          <w:szCs w:val="20"/>
          <w:color w:val="auto"/>
        </w:rPr>
      </w:pPr>
    </w:p>
    <w:p>
      <w:pPr>
        <w:ind w:left="1460" w:right="559" w:firstLine="335"/>
        <w:spacing w:after="0" w:line="267" w:lineRule="auto"/>
        <w:rPr>
          <w:sz w:val="20"/>
          <w:szCs w:val="20"/>
          <w:color w:val="auto"/>
        </w:rPr>
      </w:pPr>
      <w:r>
        <w:rPr>
          <w:rFonts w:ascii="Times New Roman" w:cs="Times New Roman" w:eastAsia="Times New Roman" w:hAnsi="Times New Roman"/>
          <w:sz w:val="14"/>
          <w:szCs w:val="14"/>
          <w:color w:val="auto"/>
        </w:rPr>
        <w:t>In addition, the Rights may have certain anti-takeover effects. In general terms and subject to certain exceptions, the Plan works by imposing a significant penalty upon any person or group of affiliated or associated</w:t>
      </w:r>
    </w:p>
    <w:p>
      <w:pPr>
        <w:spacing w:after="0" w:line="84"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10159"/>
          </w:cols>
          <w:pgMar w:left="300" w:top="380" w:right="1440"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7">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44" w:lineRule="exact"/>
        <w:rPr>
          <w:sz w:val="20"/>
          <w:szCs w:val="20"/>
          <w:color w:val="auto"/>
        </w:rPr>
      </w:pPr>
    </w:p>
    <w:p>
      <w:pPr>
        <w:ind w:left="1460" w:right="379"/>
        <w:spacing w:after="0" w:line="285" w:lineRule="auto"/>
        <w:rPr>
          <w:sz w:val="20"/>
          <w:szCs w:val="20"/>
          <w:color w:val="auto"/>
        </w:rPr>
      </w:pPr>
      <w:r>
        <w:rPr>
          <w:rFonts w:ascii="Times New Roman" w:cs="Times New Roman" w:eastAsia="Times New Roman" w:hAnsi="Times New Roman"/>
          <w:sz w:val="13"/>
          <w:szCs w:val="13"/>
          <w:color w:val="auto"/>
        </w:rPr>
        <w:t>persons that acquires 4.9% (9.9% in the case of a passive investor or, in the case of the Icahn Group or any member of the Icahn Group, the applicable amounts set forth in the Plan) or more of the outstanding Southwest Gas Holdings, Inc. common stock, except in certain situations specified in the Plan (such person, an “Acquiring Person”). The Rights, however, should not interfere with any merger or other business combination approved by the Board.</w:t>
      </w:r>
    </w:p>
    <w:p>
      <w:pPr>
        <w:spacing w:after="0" w:line="203"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color w:val="auto"/>
        </w:rPr>
        <w:t>Transfer Agent and Registrar</w:t>
      </w:r>
    </w:p>
    <w:p>
      <w:pPr>
        <w:spacing w:after="0" w:line="90"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4"/>
          <w:szCs w:val="14"/>
          <w:color w:val="auto"/>
        </w:rPr>
        <w:t>Equiniti Trust Company, LLC is the registrar and transfer agent for our common stock.</w:t>
      </w:r>
    </w:p>
    <w:p>
      <w:pPr>
        <w:spacing w:after="0" w:line="246"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color w:val="auto"/>
        </w:rPr>
        <w:t>Listing</w:t>
      </w:r>
    </w:p>
    <w:p>
      <w:pPr>
        <w:spacing w:after="0" w:line="90"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4"/>
          <w:szCs w:val="14"/>
          <w:color w:val="auto"/>
        </w:rPr>
        <w:t>Our common stock is listed on the New York Stock Exchange under the symbol “SWX.”</w:t>
      </w:r>
    </w:p>
    <w:p>
      <w:pPr>
        <w:spacing w:after="0" w:line="11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10159"/>
          </w:cols>
          <w:pgMar w:left="300" w:top="380" w:right="1440"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8">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4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DESCRIPTION OF DEBT SECURITIES</w:t>
      </w:r>
    </w:p>
    <w:p>
      <w:pPr>
        <w:spacing w:after="0" w:line="172" w:lineRule="exact"/>
        <w:rPr>
          <w:sz w:val="20"/>
          <w:szCs w:val="20"/>
          <w:color w:val="auto"/>
        </w:rPr>
      </w:pPr>
    </w:p>
    <w:p>
      <w:pPr>
        <w:ind w:left="1460" w:right="379" w:firstLine="335"/>
        <w:spacing w:after="0" w:line="256" w:lineRule="auto"/>
        <w:rPr>
          <w:sz w:val="20"/>
          <w:szCs w:val="20"/>
          <w:color w:val="auto"/>
        </w:rPr>
      </w:pPr>
      <w:r>
        <w:rPr>
          <w:rFonts w:ascii="Times New Roman" w:cs="Times New Roman" w:eastAsia="Times New Roman" w:hAnsi="Times New Roman"/>
          <w:sz w:val="14"/>
          <w:szCs w:val="14"/>
          <w:color w:val="auto"/>
        </w:rPr>
        <w:t>The following text describes the general terms and provisions of debt securities that Southwest Gas Holdings, Inc. and/or Southwest Gas Corporation may offer from time to time. For purposes of this “Description of Debt Securities,” “we,” “us” and “our” refer to the relevant issuer of debt securities, Southwest Gas Holdings, Inc. or Southwest Gas Corporation, as the case may be, and not to their respective subsidiaries.</w:t>
      </w:r>
    </w:p>
    <w:p>
      <w:pPr>
        <w:spacing w:after="0" w:line="143" w:lineRule="exact"/>
        <w:rPr>
          <w:sz w:val="20"/>
          <w:szCs w:val="20"/>
          <w:color w:val="auto"/>
        </w:rPr>
      </w:pPr>
    </w:p>
    <w:p>
      <w:pPr>
        <w:ind w:left="1460" w:right="439" w:firstLine="335"/>
        <w:spacing w:after="0" w:line="250" w:lineRule="auto"/>
        <w:rPr>
          <w:sz w:val="20"/>
          <w:szCs w:val="20"/>
          <w:color w:val="auto"/>
        </w:rPr>
      </w:pPr>
      <w:r>
        <w:rPr>
          <w:rFonts w:ascii="Times New Roman" w:cs="Times New Roman" w:eastAsia="Times New Roman" w:hAnsi="Times New Roman"/>
          <w:sz w:val="14"/>
          <w:szCs w:val="14"/>
          <w:color w:val="auto"/>
        </w:rPr>
        <w:t>When we offer to sell a particular series of debt securities, we will describe the specific terms of the series in a prospectus supplement. We will also indicate in any applicable prospectus supplement whether the general terms and provisions described in this prospectus apply to a particular series of debt securities. Unless otherwise specified in any applicable prospectus supplement, the senior debt securities will be our direct, unsecured obligations and will rank equally with all of our other unsecured and unsubordinated indebtedness. To the extent we issue secured or subordinated debt securities, the terms will be described in the applicable prospectus supplement.</w:t>
      </w:r>
    </w:p>
    <w:p>
      <w:pPr>
        <w:spacing w:after="0" w:line="148" w:lineRule="exact"/>
        <w:rPr>
          <w:sz w:val="20"/>
          <w:szCs w:val="20"/>
          <w:color w:val="auto"/>
        </w:rPr>
      </w:pPr>
    </w:p>
    <w:p>
      <w:pPr>
        <w:ind w:left="1460" w:right="339" w:firstLine="335"/>
        <w:spacing w:after="0" w:line="269" w:lineRule="auto"/>
        <w:rPr>
          <w:sz w:val="20"/>
          <w:szCs w:val="20"/>
          <w:color w:val="auto"/>
        </w:rPr>
      </w:pPr>
      <w:r>
        <w:rPr>
          <w:rFonts w:ascii="Times New Roman" w:cs="Times New Roman" w:eastAsia="Times New Roman" w:hAnsi="Times New Roman"/>
          <w:sz w:val="13"/>
          <w:szCs w:val="13"/>
          <w:color w:val="auto"/>
        </w:rPr>
        <w:t>The debt securities of Southwest Gas Holdings, Inc. will be issued under an indenture between Southwest Gas Holdings, Inc. and The Bank of New York Mellon Trust Company, N.A., as Trustee (the “Holdings Indenture”) in the form included as an exhibit to the registration statement of which this prospectus forms a part. Unless otherwise specified in any applicable prospectus supplement, the debt securities of Southwest Gas Corporation will be issued under the indenture, dated as of June 4, 2020, by and between Southwest Gas Corporation and The Bank of New York Mellon Trust Company, N.A., as Trustee (the “Corporation Indenture” and, together with the Holdings Indenture, the “Indentures”). Each Indenture describes the terms of the debt securities and does not limit the amount of debt securities or other unsecured, senior debt we may issue. We have summarized the general terms and provisions of the debt securities to be governed by each Indenture. The summary is not complete and is subject to, and qualified in its entirety by reference to, all provisions of the Indenture and the Trust Indenture Act of 1939, as amended (the “Trust Indenture Act”). We encourage you to read the Indentures. Capitalized terms used in this description of our debt securities have the meanings ascribed to them in the applicable Indenture.</w:t>
      </w:r>
    </w:p>
    <w:p>
      <w:pPr>
        <w:spacing w:after="0" w:line="215"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90" w:lineRule="exact"/>
        <w:rPr>
          <w:sz w:val="20"/>
          <w:szCs w:val="20"/>
          <w:color w:val="auto"/>
        </w:rPr>
      </w:pPr>
    </w:p>
    <w:p>
      <w:pPr>
        <w:ind w:left="1460" w:right="339" w:firstLine="335"/>
        <w:spacing w:after="0" w:line="256" w:lineRule="auto"/>
        <w:rPr>
          <w:sz w:val="20"/>
          <w:szCs w:val="20"/>
          <w:color w:val="auto"/>
        </w:rPr>
      </w:pPr>
      <w:r>
        <w:rPr>
          <w:rFonts w:ascii="Times New Roman" w:cs="Times New Roman" w:eastAsia="Times New Roman" w:hAnsi="Times New Roman"/>
          <w:sz w:val="14"/>
          <w:szCs w:val="14"/>
          <w:color w:val="auto"/>
        </w:rPr>
        <w:t>The terms of each series of debt securities will be established by the Board or a committee thereof and set forth or determined in the manner provided in an Officers’ Certificate or by a supplemental indenture to the relevant Indenture. The particular terms of each series of debt securities will be described in a prospectus supplement relating to such series.</w:t>
      </w:r>
    </w:p>
    <w:p>
      <w:pPr>
        <w:spacing w:after="0" w:line="143" w:lineRule="exact"/>
        <w:rPr>
          <w:sz w:val="20"/>
          <w:szCs w:val="20"/>
          <w:color w:val="auto"/>
        </w:rPr>
      </w:pPr>
    </w:p>
    <w:p>
      <w:pPr>
        <w:ind w:left="1460" w:right="379" w:firstLine="335"/>
        <w:spacing w:after="0" w:line="252" w:lineRule="auto"/>
        <w:rPr>
          <w:sz w:val="20"/>
          <w:szCs w:val="20"/>
          <w:color w:val="auto"/>
        </w:rPr>
      </w:pPr>
      <w:r>
        <w:rPr>
          <w:rFonts w:ascii="Times New Roman" w:cs="Times New Roman" w:eastAsia="Times New Roman" w:hAnsi="Times New Roman"/>
          <w:sz w:val="14"/>
          <w:szCs w:val="14"/>
          <w:color w:val="auto"/>
        </w:rPr>
        <w:t>We may issue debt securities in one or more series with the same or various maturities, at par, at a premium or at a discount. We need not issue all debt securities of one series at the same time and, unless otherwise provided, we may without the consent of the holders of the debt securities of that series reopen a series and issue additional debt securities of that series. We will set forth in a prospectus supplement the aggregate principal amount of any series of debt securities being offered and their specific terms, including, to the extent applicable, the following terms:</w:t>
      </w:r>
    </w:p>
    <w:p>
      <w:pPr>
        <w:spacing w:after="0" w:line="74" w:lineRule="exact"/>
        <w:rPr>
          <w:sz w:val="20"/>
          <w:szCs w:val="20"/>
          <w:color w:val="auto"/>
        </w:rPr>
      </w:pPr>
    </w:p>
    <w:p>
      <w:pPr>
        <w:ind w:left="2200" w:hanging="338"/>
        <w:spacing w:after="0"/>
        <w:tabs>
          <w:tab w:leader="none" w:pos="22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title of the debt securities;</w:t>
      </w:r>
    </w:p>
    <w:p>
      <w:pPr>
        <w:spacing w:after="0" w:line="95" w:lineRule="exact"/>
        <w:rPr>
          <w:rFonts w:ascii="Times New Roman" w:cs="Times New Roman" w:eastAsia="Times New Roman" w:hAnsi="Times New Roman"/>
          <w:sz w:val="14"/>
          <w:szCs w:val="14"/>
          <w:color w:val="auto"/>
        </w:rPr>
      </w:pPr>
    </w:p>
    <w:p>
      <w:pPr>
        <w:ind w:left="2200" w:hanging="338"/>
        <w:spacing w:after="0"/>
        <w:tabs>
          <w:tab w:leader="none" w:pos="22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limit on the aggregate principal amount of the debt securities;</w:t>
      </w:r>
    </w:p>
    <w:p>
      <w:pPr>
        <w:spacing w:after="0" w:line="95" w:lineRule="exact"/>
        <w:rPr>
          <w:rFonts w:ascii="Times New Roman" w:cs="Times New Roman" w:eastAsia="Times New Roman" w:hAnsi="Times New Roman"/>
          <w:sz w:val="14"/>
          <w:szCs w:val="14"/>
          <w:color w:val="auto"/>
        </w:rPr>
      </w:pPr>
    </w:p>
    <w:p>
      <w:pPr>
        <w:ind w:left="2200" w:hanging="338"/>
        <w:spacing w:after="0"/>
        <w:tabs>
          <w:tab w:leader="none" w:pos="22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or dates on which we will pay the principal on the debt securities;</w:t>
      </w:r>
    </w:p>
    <w:p>
      <w:pPr>
        <w:spacing w:after="0" w:line="95" w:lineRule="exact"/>
        <w:rPr>
          <w:rFonts w:ascii="Times New Roman" w:cs="Times New Roman" w:eastAsia="Times New Roman" w:hAnsi="Times New Roman"/>
          <w:sz w:val="14"/>
          <w:szCs w:val="14"/>
          <w:color w:val="auto"/>
        </w:rPr>
      </w:pPr>
    </w:p>
    <w:p>
      <w:pPr>
        <w:ind w:left="2200" w:right="439" w:hanging="338"/>
        <w:spacing w:after="0" w:line="252" w:lineRule="auto"/>
        <w:tabs>
          <w:tab w:leader="none" w:pos="22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rate or rates (which may be fixed or variable) per annum or the method used to determine the rate or rates (including any commodity, commodity index, stock exchange index or financial index) at which the debt securities will bear interest, the date or dates from which interest will accrue, the date or dates on which interest will commence and be payable and any regular record date for the interest payable on any interest payment date;</w:t>
      </w:r>
    </w:p>
    <w:p>
      <w:pPr>
        <w:spacing w:after="0" w:line="9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11</w:t>
      </w:r>
    </w:p>
    <w:p>
      <w:pPr>
        <w:sectPr>
          <w:pgSz w:w="11900" w:h="16838" w:orient="portrait"/>
          <w:cols w:equalWidth="0" w:num="1">
            <w:col w:w="10159"/>
          </w:cols>
          <w:pgMar w:left="300" w:top="380" w:right="1440"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9">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44" w:lineRule="exact"/>
        <w:rPr>
          <w:sz w:val="20"/>
          <w:szCs w:val="20"/>
          <w:color w:val="auto"/>
        </w:rPr>
      </w:pPr>
    </w:p>
    <w:p>
      <w:pPr>
        <w:ind w:left="2200" w:hanging="338"/>
        <w:spacing w:after="0"/>
        <w:tabs>
          <w:tab w:leader="none" w:pos="22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place or places where principal of, and premium, if any, and interest on, the debt securities will be payable;</w:t>
      </w:r>
    </w:p>
    <w:p>
      <w:pPr>
        <w:spacing w:after="0" w:line="95" w:lineRule="exact"/>
        <w:rPr>
          <w:rFonts w:ascii="Times New Roman" w:cs="Times New Roman" w:eastAsia="Times New Roman" w:hAnsi="Times New Roman"/>
          <w:sz w:val="14"/>
          <w:szCs w:val="14"/>
          <w:color w:val="auto"/>
        </w:rPr>
      </w:pPr>
    </w:p>
    <w:p>
      <w:pPr>
        <w:ind w:left="2200" w:hanging="338"/>
        <w:spacing w:after="0"/>
        <w:tabs>
          <w:tab w:leader="none" w:pos="22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and conditions upon which we may redeem or prepay the debt securities;</w:t>
      </w:r>
    </w:p>
    <w:p>
      <w:pPr>
        <w:spacing w:after="0" w:line="95" w:lineRule="exact"/>
        <w:rPr>
          <w:rFonts w:ascii="Times New Roman" w:cs="Times New Roman" w:eastAsia="Times New Roman" w:hAnsi="Times New Roman"/>
          <w:sz w:val="14"/>
          <w:szCs w:val="14"/>
          <w:color w:val="auto"/>
        </w:rPr>
      </w:pPr>
    </w:p>
    <w:p>
      <w:pPr>
        <w:ind w:left="2200" w:right="439" w:hanging="338"/>
        <w:spacing w:after="0" w:line="267" w:lineRule="auto"/>
        <w:tabs>
          <w:tab w:leader="none" w:pos="22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obligation or right we have to redeem, repay or purchase the debt securities pursuant to any sinking fund or analogous provision or at the option of a holder of debt securities;</w:t>
      </w:r>
    </w:p>
    <w:p>
      <w:pPr>
        <w:spacing w:after="0" w:line="63" w:lineRule="exact"/>
        <w:rPr>
          <w:rFonts w:ascii="Times New Roman" w:cs="Times New Roman" w:eastAsia="Times New Roman" w:hAnsi="Times New Roman"/>
          <w:sz w:val="14"/>
          <w:szCs w:val="14"/>
          <w:color w:val="auto"/>
        </w:rPr>
      </w:pPr>
    </w:p>
    <w:p>
      <w:pPr>
        <w:ind w:left="2200" w:right="599" w:hanging="338"/>
        <w:spacing w:after="0" w:line="267" w:lineRule="auto"/>
        <w:tabs>
          <w:tab w:leader="none" w:pos="22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dates on which and the price or prices at which we will repurchase debt securities at the option of the holders of debt securities and other detailed terms and provisions of these repurchase obligations;</w:t>
      </w:r>
    </w:p>
    <w:p>
      <w:pPr>
        <w:spacing w:after="0" w:line="63" w:lineRule="exact"/>
        <w:rPr>
          <w:rFonts w:ascii="Times New Roman" w:cs="Times New Roman" w:eastAsia="Times New Roman" w:hAnsi="Times New Roman"/>
          <w:sz w:val="14"/>
          <w:szCs w:val="14"/>
          <w:color w:val="auto"/>
        </w:rPr>
      </w:pPr>
    </w:p>
    <w:p>
      <w:pPr>
        <w:ind w:left="2200" w:right="319" w:hanging="338"/>
        <w:spacing w:after="0" w:line="267" w:lineRule="auto"/>
        <w:tabs>
          <w:tab w:leader="none" w:pos="22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denominations in which the debt securities will be issued, if other than minimum denominations of $2,000 and any integral multiples of $1,000 in excess thereof;</w:t>
      </w:r>
    </w:p>
    <w:p>
      <w:pPr>
        <w:spacing w:after="0" w:line="63" w:lineRule="exact"/>
        <w:rPr>
          <w:rFonts w:ascii="Times New Roman" w:cs="Times New Roman" w:eastAsia="Times New Roman" w:hAnsi="Times New Roman"/>
          <w:sz w:val="14"/>
          <w:szCs w:val="14"/>
          <w:color w:val="auto"/>
        </w:rPr>
      </w:pPr>
    </w:p>
    <w:p>
      <w:pPr>
        <w:ind w:left="2200" w:hanging="338"/>
        <w:spacing w:after="0"/>
        <w:tabs>
          <w:tab w:leader="none" w:pos="22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debt securities will be issued in certificated or “book-entry only” form;</w:t>
      </w:r>
    </w:p>
    <w:p>
      <w:pPr>
        <w:spacing w:after="0" w:line="95" w:lineRule="exact"/>
        <w:rPr>
          <w:rFonts w:ascii="Times New Roman" w:cs="Times New Roman" w:eastAsia="Times New Roman" w:hAnsi="Times New Roman"/>
          <w:sz w:val="14"/>
          <w:szCs w:val="14"/>
          <w:color w:val="auto"/>
        </w:rPr>
      </w:pPr>
    </w:p>
    <w:p>
      <w:pPr>
        <w:ind w:left="2200" w:right="439" w:hanging="338"/>
        <w:spacing w:after="0" w:line="267" w:lineRule="auto"/>
        <w:tabs>
          <w:tab w:leader="none" w:pos="22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portion of principal amount of the debt securities payable upon declaration of acceleration of the maturity date, if other than the entire principal amount;</w:t>
      </w:r>
    </w:p>
    <w:p>
      <w:pPr>
        <w:spacing w:after="0" w:line="63" w:lineRule="exact"/>
        <w:rPr>
          <w:rFonts w:ascii="Times New Roman" w:cs="Times New Roman" w:eastAsia="Times New Roman" w:hAnsi="Times New Roman"/>
          <w:sz w:val="14"/>
          <w:szCs w:val="14"/>
          <w:color w:val="auto"/>
        </w:rPr>
      </w:pPr>
    </w:p>
    <w:p>
      <w:pPr>
        <w:ind w:left="2200" w:hanging="338"/>
        <w:spacing w:after="0"/>
        <w:tabs>
          <w:tab w:leader="none" w:pos="22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currency of denomination of the debt securities;</w:t>
      </w:r>
    </w:p>
    <w:p>
      <w:pPr>
        <w:spacing w:after="0" w:line="95" w:lineRule="exact"/>
        <w:rPr>
          <w:rFonts w:ascii="Times New Roman" w:cs="Times New Roman" w:eastAsia="Times New Roman" w:hAnsi="Times New Roman"/>
          <w:sz w:val="14"/>
          <w:szCs w:val="14"/>
          <w:color w:val="auto"/>
        </w:rPr>
      </w:pPr>
    </w:p>
    <w:p>
      <w:pPr>
        <w:ind w:left="2200" w:hanging="338"/>
        <w:spacing w:after="0"/>
        <w:tabs>
          <w:tab w:leader="none" w:pos="22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or not the debt securities will be secured or unsecured, and the terms of any secured debt;</w:t>
      </w:r>
    </w:p>
    <w:p>
      <w:pPr>
        <w:spacing w:after="0" w:line="95" w:lineRule="exact"/>
        <w:rPr>
          <w:rFonts w:ascii="Times New Roman" w:cs="Times New Roman" w:eastAsia="Times New Roman" w:hAnsi="Times New Roman"/>
          <w:sz w:val="14"/>
          <w:szCs w:val="14"/>
          <w:color w:val="auto"/>
        </w:rPr>
      </w:pPr>
    </w:p>
    <w:p>
      <w:pPr>
        <w:ind w:left="2200" w:hanging="338"/>
        <w:spacing w:after="0"/>
        <w:tabs>
          <w:tab w:leader="none" w:pos="22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of the subordination of any series of subordinated debt;</w:t>
      </w:r>
    </w:p>
    <w:p>
      <w:pPr>
        <w:spacing w:after="0" w:line="95" w:lineRule="exact"/>
        <w:rPr>
          <w:rFonts w:ascii="Times New Roman" w:cs="Times New Roman" w:eastAsia="Times New Roman" w:hAnsi="Times New Roman"/>
          <w:sz w:val="14"/>
          <w:szCs w:val="14"/>
          <w:color w:val="auto"/>
        </w:rPr>
      </w:pPr>
    </w:p>
    <w:p>
      <w:pPr>
        <w:ind w:left="2200" w:right="719" w:hanging="338"/>
        <w:spacing w:after="0" w:line="267" w:lineRule="auto"/>
        <w:tabs>
          <w:tab w:leader="none" w:pos="22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designation of the currency, currencies or currency units in which payment of principal of, and premium and interest on, the debt securities will be made;</w:t>
      </w:r>
    </w:p>
    <w:p>
      <w:pPr>
        <w:spacing w:after="0" w:line="63" w:lineRule="exact"/>
        <w:rPr>
          <w:rFonts w:ascii="Times New Roman" w:cs="Times New Roman" w:eastAsia="Times New Roman" w:hAnsi="Times New Roman"/>
          <w:sz w:val="14"/>
          <w:szCs w:val="14"/>
          <w:color w:val="auto"/>
        </w:rPr>
      </w:pPr>
    </w:p>
    <w:p>
      <w:pPr>
        <w:ind w:left="2200" w:right="399" w:hanging="338"/>
        <w:spacing w:after="0" w:line="256" w:lineRule="auto"/>
        <w:tabs>
          <w:tab w:leader="none" w:pos="22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payments of principal of, or premium or interest on, the debt securities will be made in one or more currencies or currency units other than that or those in which the debt securities are denominated, the manner in which the exchange rate with respect to these payments will be determined;</w:t>
      </w:r>
    </w:p>
    <w:p>
      <w:pPr>
        <w:spacing w:after="0" w:line="70" w:lineRule="exact"/>
        <w:rPr>
          <w:rFonts w:ascii="Times New Roman" w:cs="Times New Roman" w:eastAsia="Times New Roman" w:hAnsi="Times New Roman"/>
          <w:sz w:val="14"/>
          <w:szCs w:val="14"/>
          <w:color w:val="auto"/>
        </w:rPr>
      </w:pPr>
    </w:p>
    <w:p>
      <w:pPr>
        <w:jc w:val="both"/>
        <w:ind w:left="2200" w:right="619" w:hanging="338"/>
        <w:spacing w:after="0" w:line="285" w:lineRule="auto"/>
        <w:tabs>
          <w:tab w:leader="none" w:pos="2200"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manner in which the amounts of payment of principal of, or premium or interest on, the debt securities will be determined, if these amounts may be determined by reference to an index based on a currency or currencies other than that in which the debt securities are denominated or designated to be payable or by reference to a commodity, commodity index, stock exchange index or financial index;</w:t>
      </w:r>
    </w:p>
    <w:p>
      <w:pPr>
        <w:spacing w:after="0" w:line="53" w:lineRule="exact"/>
        <w:rPr>
          <w:rFonts w:ascii="Times New Roman" w:cs="Times New Roman" w:eastAsia="Times New Roman" w:hAnsi="Times New Roman"/>
          <w:sz w:val="13"/>
          <w:szCs w:val="13"/>
          <w:color w:val="auto"/>
        </w:rPr>
      </w:pPr>
    </w:p>
    <w:p>
      <w:pPr>
        <w:ind w:left="2200" w:hanging="338"/>
        <w:spacing w:after="0"/>
        <w:tabs>
          <w:tab w:leader="none" w:pos="2200"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provisions relating to any collateral securing or guarantees of payments of principal of, or premium or interest on, the debt securities;</w:t>
      </w:r>
    </w:p>
    <w:p>
      <w:pPr>
        <w:spacing w:after="0" w:line="107" w:lineRule="exact"/>
        <w:rPr>
          <w:rFonts w:ascii="Times New Roman" w:cs="Times New Roman" w:eastAsia="Times New Roman" w:hAnsi="Times New Roman"/>
          <w:sz w:val="13"/>
          <w:szCs w:val="13"/>
          <w:color w:val="auto"/>
        </w:rPr>
      </w:pPr>
    </w:p>
    <w:p>
      <w:pPr>
        <w:ind w:left="2200" w:right="539" w:hanging="338"/>
        <w:spacing w:after="0" w:line="256" w:lineRule="auto"/>
        <w:tabs>
          <w:tab w:leader="none" w:pos="22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addition to or change in the Events of Default described in this prospectus or in the relevant Indenture with respect to the debt securities and any change in the acceleration provisions described in this prospectus or in the relevant Indenture with respect to the debt securities;</w:t>
      </w:r>
    </w:p>
    <w:p>
      <w:pPr>
        <w:spacing w:after="0" w:line="70" w:lineRule="exact"/>
        <w:rPr>
          <w:rFonts w:ascii="Times New Roman" w:cs="Times New Roman" w:eastAsia="Times New Roman" w:hAnsi="Times New Roman"/>
          <w:sz w:val="14"/>
          <w:szCs w:val="14"/>
          <w:color w:val="auto"/>
        </w:rPr>
      </w:pPr>
    </w:p>
    <w:p>
      <w:pPr>
        <w:ind w:left="2200" w:hanging="338"/>
        <w:spacing w:after="0"/>
        <w:tabs>
          <w:tab w:leader="none" w:pos="22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addition to or change in the covenants described in this prospectus or in the relevant Indenture with respect to the debt securities;</w:t>
      </w:r>
    </w:p>
    <w:p>
      <w:pPr>
        <w:spacing w:after="0" w:line="95" w:lineRule="exact"/>
        <w:rPr>
          <w:rFonts w:ascii="Times New Roman" w:cs="Times New Roman" w:eastAsia="Times New Roman" w:hAnsi="Times New Roman"/>
          <w:sz w:val="14"/>
          <w:szCs w:val="14"/>
          <w:color w:val="auto"/>
        </w:rPr>
      </w:pPr>
    </w:p>
    <w:p>
      <w:pPr>
        <w:ind w:left="2200" w:right="379" w:hanging="338"/>
        <w:spacing w:after="0" w:line="256" w:lineRule="auto"/>
        <w:tabs>
          <w:tab w:leader="none" w:pos="22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conversion provisions, including the conversion rate, the conversion period, provisions as to whether conversion will be mandatory, at the option of the holder or at our option, the events requiring an adjustment of the conversion rate and provisions affecting conversion if such series of debt securities is redeemed;</w:t>
      </w:r>
    </w:p>
    <w:p>
      <w:pPr>
        <w:spacing w:after="0" w:line="70" w:lineRule="exact"/>
        <w:rPr>
          <w:rFonts w:ascii="Times New Roman" w:cs="Times New Roman" w:eastAsia="Times New Roman" w:hAnsi="Times New Roman"/>
          <w:sz w:val="14"/>
          <w:szCs w:val="14"/>
          <w:color w:val="auto"/>
        </w:rPr>
      </w:pPr>
    </w:p>
    <w:p>
      <w:pPr>
        <w:ind w:left="2200" w:hanging="338"/>
        <w:spacing w:after="0"/>
        <w:tabs>
          <w:tab w:leader="none" w:pos="22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depositories, interest rate calculation agents, exchange rate calculation agents or other agents with respect to the debt securities; and</w:t>
      </w:r>
    </w:p>
    <w:p>
      <w:pPr>
        <w:spacing w:after="0" w:line="95" w:lineRule="exact"/>
        <w:rPr>
          <w:rFonts w:ascii="Times New Roman" w:cs="Times New Roman" w:eastAsia="Times New Roman" w:hAnsi="Times New Roman"/>
          <w:sz w:val="14"/>
          <w:szCs w:val="14"/>
          <w:color w:val="auto"/>
        </w:rPr>
      </w:pPr>
    </w:p>
    <w:p>
      <w:pPr>
        <w:ind w:left="2200" w:right="379" w:hanging="338"/>
        <w:spacing w:after="0" w:line="267" w:lineRule="auto"/>
        <w:tabs>
          <w:tab w:leader="none" w:pos="22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terms of the debt securities, which may modify, delete, supplement or add to any provision of the relevant Indenture as it applies to that series.</w:t>
      </w:r>
    </w:p>
    <w:p>
      <w:pPr>
        <w:spacing w:after="0" w:line="135" w:lineRule="exact"/>
        <w:rPr>
          <w:sz w:val="20"/>
          <w:szCs w:val="20"/>
          <w:color w:val="auto"/>
        </w:rPr>
      </w:pPr>
    </w:p>
    <w:p>
      <w:pPr>
        <w:ind w:left="1460" w:right="559" w:firstLine="335"/>
        <w:spacing w:after="0" w:line="267" w:lineRule="auto"/>
        <w:rPr>
          <w:sz w:val="20"/>
          <w:szCs w:val="20"/>
          <w:color w:val="auto"/>
        </w:rPr>
      </w:pPr>
      <w:r>
        <w:rPr>
          <w:rFonts w:ascii="Times New Roman" w:cs="Times New Roman" w:eastAsia="Times New Roman" w:hAnsi="Times New Roman"/>
          <w:sz w:val="14"/>
          <w:szCs w:val="14"/>
          <w:color w:val="auto"/>
        </w:rPr>
        <w:t>We will provide you with information on the federal income tax considerations and other special considerations applicable to any of these debt securities in the applicable prospectus supplement.</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12</w:t>
      </w:r>
    </w:p>
    <w:p>
      <w:pPr>
        <w:sectPr>
          <w:pgSz w:w="11900" w:h="16838" w:orient="portrait"/>
          <w:cols w:equalWidth="0" w:num="1">
            <w:col w:w="10159"/>
          </w:cols>
          <w:pgMar w:left="300" w:top="380" w:right="1440"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0">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44" w:lineRule="exact"/>
        <w:rPr>
          <w:sz w:val="20"/>
          <w:szCs w:val="20"/>
          <w:color w:val="auto"/>
        </w:rPr>
      </w:pPr>
    </w:p>
    <w:p>
      <w:pPr>
        <w:ind w:left="1460" w:right="419" w:firstLine="335"/>
        <w:spacing w:after="0" w:line="278" w:lineRule="auto"/>
        <w:rPr>
          <w:sz w:val="20"/>
          <w:szCs w:val="20"/>
          <w:color w:val="auto"/>
        </w:rPr>
      </w:pPr>
      <w:r>
        <w:rPr>
          <w:rFonts w:ascii="Times New Roman" w:cs="Times New Roman" w:eastAsia="Times New Roman" w:hAnsi="Times New Roman"/>
          <w:sz w:val="13"/>
          <w:szCs w:val="13"/>
          <w:color w:val="auto"/>
        </w:rPr>
        <w:t>If we denominate the purchase price of any of the debt securities in a foreign currency or currencies or a foreign currency unit or units, or if the principal of, and premium and interest on, any series of debt securities is payable in a foreign currency or currencies or a foreign currency unit or units, we will provide you with information on the restrictions, elections, general tax considerations, specific terms and other information with respect to that issue of debt securities and such foreign currency or currencies or foreign currency unit or units in the applicable prospectus supplement.</w:t>
      </w:r>
    </w:p>
    <w:p>
      <w:pPr>
        <w:spacing w:after="0" w:line="208"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color w:val="auto"/>
        </w:rPr>
        <w:t>Transfer and Exchange</w:t>
      </w:r>
    </w:p>
    <w:p>
      <w:pPr>
        <w:spacing w:after="0" w:line="90" w:lineRule="exact"/>
        <w:rPr>
          <w:sz w:val="20"/>
          <w:szCs w:val="20"/>
          <w:color w:val="auto"/>
        </w:rPr>
      </w:pPr>
    </w:p>
    <w:p>
      <w:pPr>
        <w:ind w:left="1460" w:right="379" w:firstLine="335"/>
        <w:spacing w:after="0" w:line="250" w:lineRule="auto"/>
        <w:rPr>
          <w:sz w:val="20"/>
          <w:szCs w:val="20"/>
          <w:color w:val="auto"/>
        </w:rPr>
      </w:pPr>
      <w:r>
        <w:rPr>
          <w:rFonts w:ascii="Times New Roman" w:cs="Times New Roman" w:eastAsia="Times New Roman" w:hAnsi="Times New Roman"/>
          <w:sz w:val="14"/>
          <w:szCs w:val="14"/>
          <w:color w:val="auto"/>
        </w:rPr>
        <w:t>Each debt security will be represented by either one or more global securities registered in the name of The Depository Trust Company, as depositary, or a nominee (which we refer to, in the case of any debt security represented by a global debt security, as a “book-entry debt security”), or a certificate issued in definitive registered form (which we refer to, in the case of any debt security represented by a certificated security, as a “certificated debt security”) as set forth in the applicable prospectus supplement. Except as set forth in the applicable prospectus supplement, book-entry debt securities will not be issuable in certificated form.</w:t>
      </w:r>
    </w:p>
    <w:p>
      <w:pPr>
        <w:spacing w:after="0" w:line="148" w:lineRule="exact"/>
        <w:rPr>
          <w:sz w:val="20"/>
          <w:szCs w:val="20"/>
          <w:color w:val="auto"/>
        </w:rPr>
      </w:pPr>
    </w:p>
    <w:p>
      <w:pPr>
        <w:ind w:left="1460" w:right="379" w:firstLine="335"/>
        <w:spacing w:after="0" w:line="256" w:lineRule="auto"/>
        <w:rPr>
          <w:sz w:val="20"/>
          <w:szCs w:val="20"/>
          <w:color w:val="auto"/>
        </w:rPr>
      </w:pPr>
      <w:r>
        <w:rPr>
          <w:rFonts w:ascii="Times New Roman" w:cs="Times New Roman" w:eastAsia="Times New Roman" w:hAnsi="Times New Roman"/>
          <w:sz w:val="14"/>
          <w:szCs w:val="14"/>
          <w:color w:val="auto"/>
        </w:rPr>
        <w:t>You may transfer or exchange certificated debt securities at any office we maintain for this purpose in accordance with the terms of the Indenture. No service charge will be made for any registration of transfer or exchange of certificated debt securities, but we may require payment of a sum sufficient to cover all taxes, assessments or other governmental charges that may be imposed in connection with a transfer or exchange.</w:t>
      </w:r>
    </w:p>
    <w:p>
      <w:pPr>
        <w:spacing w:after="0" w:line="143" w:lineRule="exact"/>
        <w:rPr>
          <w:sz w:val="20"/>
          <w:szCs w:val="20"/>
          <w:color w:val="auto"/>
        </w:rPr>
      </w:pPr>
    </w:p>
    <w:p>
      <w:pPr>
        <w:ind w:left="1460" w:right="379" w:firstLine="335"/>
        <w:spacing w:after="0" w:line="252" w:lineRule="auto"/>
        <w:rPr>
          <w:sz w:val="20"/>
          <w:szCs w:val="20"/>
          <w:color w:val="auto"/>
        </w:rPr>
      </w:pPr>
      <w:r>
        <w:rPr>
          <w:rFonts w:ascii="Times New Roman" w:cs="Times New Roman" w:eastAsia="Times New Roman" w:hAnsi="Times New Roman"/>
          <w:sz w:val="14"/>
          <w:szCs w:val="14"/>
          <w:color w:val="auto"/>
        </w:rPr>
        <w:t>You may effect the transfer of certificated debt securities and the right to receive the principal of, and any premium and interest on, certificated debt securities only by surrendering the certificate representing those certificated debt securities and either execution by us, and authentication and delivery by the Trustee, of the certificate to the new holder or execution by us, and authentication and delivery by the Trustee, of a new certificate to the new holder.</w:t>
      </w:r>
    </w:p>
    <w:p>
      <w:pPr>
        <w:spacing w:after="0" w:line="224"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color w:val="auto"/>
        </w:rPr>
        <w:t>Covenants</w:t>
      </w:r>
    </w:p>
    <w:p>
      <w:pPr>
        <w:spacing w:after="0" w:line="90"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4"/>
          <w:szCs w:val="14"/>
          <w:color w:val="auto"/>
        </w:rPr>
        <w:t>We will set forth in the applicable prospectus supplement any financial or restrictive covenants applicable to any issue of debt securities.</w:t>
      </w:r>
    </w:p>
    <w:p>
      <w:pPr>
        <w:spacing w:after="0" w:line="246"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color w:val="auto"/>
        </w:rPr>
        <w:t>No Protection in the Event of a Change of Control</w:t>
      </w:r>
    </w:p>
    <w:p>
      <w:pPr>
        <w:spacing w:after="0" w:line="90" w:lineRule="exact"/>
        <w:rPr>
          <w:sz w:val="20"/>
          <w:szCs w:val="20"/>
          <w:color w:val="auto"/>
        </w:rPr>
      </w:pPr>
    </w:p>
    <w:p>
      <w:pPr>
        <w:ind w:left="1460" w:right="359" w:firstLine="335"/>
        <w:spacing w:after="0" w:line="256" w:lineRule="auto"/>
        <w:rPr>
          <w:sz w:val="20"/>
          <w:szCs w:val="20"/>
          <w:color w:val="auto"/>
        </w:rPr>
      </w:pPr>
      <w:r>
        <w:rPr>
          <w:rFonts w:ascii="Times New Roman" w:cs="Times New Roman" w:eastAsia="Times New Roman" w:hAnsi="Times New Roman"/>
          <w:sz w:val="14"/>
          <w:szCs w:val="14"/>
          <w:color w:val="auto"/>
        </w:rPr>
        <w:t>Unless we state otherwise in the applicable prospectus supplement, the debt securities will not contain any provisions which may afford holders of the debt securities protection in the event we have a change in control or in the event of a highly leveraged transaction (whether or not such transaction results in a change in control) which could adversely affect holders of debt securities.</w:t>
      </w:r>
    </w:p>
    <w:p>
      <w:pPr>
        <w:spacing w:after="0" w:line="221"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color w:val="auto"/>
        </w:rPr>
        <w:t>Consolidation, Merger and Sale of Assets</w:t>
      </w:r>
    </w:p>
    <w:p>
      <w:pPr>
        <w:spacing w:after="0" w:line="90" w:lineRule="exact"/>
        <w:rPr>
          <w:sz w:val="20"/>
          <w:szCs w:val="20"/>
          <w:color w:val="auto"/>
        </w:rPr>
      </w:pPr>
    </w:p>
    <w:p>
      <w:pPr>
        <w:ind w:left="1460" w:right="359" w:firstLine="335"/>
        <w:spacing w:after="0" w:line="267" w:lineRule="auto"/>
        <w:rPr>
          <w:sz w:val="20"/>
          <w:szCs w:val="20"/>
          <w:color w:val="auto"/>
        </w:rPr>
      </w:pPr>
      <w:r>
        <w:rPr>
          <w:rFonts w:ascii="Times New Roman" w:cs="Times New Roman" w:eastAsia="Times New Roman" w:hAnsi="Times New Roman"/>
          <w:sz w:val="14"/>
          <w:szCs w:val="14"/>
          <w:color w:val="auto"/>
        </w:rPr>
        <w:t>We or any guarantor of the debt securities shall not consolidate with or sell, lease or convey all or substantially all of our properties or assets to, or merge with or into, in one transaction or a series of related transactions, any Person unless:</w:t>
      </w:r>
    </w:p>
    <w:p>
      <w:pPr>
        <w:spacing w:after="0" w:line="63" w:lineRule="exact"/>
        <w:rPr>
          <w:sz w:val="20"/>
          <w:szCs w:val="20"/>
          <w:color w:val="auto"/>
        </w:rPr>
      </w:pPr>
    </w:p>
    <w:p>
      <w:pPr>
        <w:ind w:left="2200" w:right="319" w:hanging="338"/>
        <w:spacing w:after="0" w:line="250" w:lineRule="auto"/>
        <w:tabs>
          <w:tab w:leader="none" w:pos="22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or such guarantor, as the case may be, is the continuing Person or, alternatively, the successor Person is organized under the laws of the United States of America, any State thereof or the District of Columbia, and such Person (if not us or such guarantor, as the case may be) expressly assumes, by a supplemental indenture, executed and delivered to the Trustee, in form reasonably satisfactory to the Trustee, all of our obligations under the debt securities and under the relevant Indenture or all of such guarantor’s obligations under its guarantee of the debt securities, as the case may be;</w:t>
      </w:r>
    </w:p>
    <w:p>
      <w:pPr>
        <w:spacing w:after="0" w:line="76" w:lineRule="exact"/>
        <w:rPr>
          <w:rFonts w:ascii="Times New Roman" w:cs="Times New Roman" w:eastAsia="Times New Roman" w:hAnsi="Times New Roman"/>
          <w:sz w:val="14"/>
          <w:szCs w:val="14"/>
          <w:color w:val="auto"/>
        </w:rPr>
      </w:pPr>
    </w:p>
    <w:p>
      <w:pPr>
        <w:ind w:left="2200" w:hanging="338"/>
        <w:spacing w:after="0"/>
        <w:tabs>
          <w:tab w:leader="none" w:pos="22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immediately after giving effect to such transaction, no default or Event of Default has occurred or is continuing; and</w:t>
      </w:r>
    </w:p>
    <w:p>
      <w:pPr>
        <w:spacing w:after="0" w:line="11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13</w:t>
      </w:r>
    </w:p>
    <w:p>
      <w:pPr>
        <w:sectPr>
          <w:pgSz w:w="11900" w:h="16838" w:orient="portrait"/>
          <w:cols w:equalWidth="0" w:num="1">
            <w:col w:w="10159"/>
          </w:cols>
          <w:pgMar w:left="300" w:top="380" w:right="1440"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1">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44" w:lineRule="exact"/>
        <w:rPr>
          <w:sz w:val="20"/>
          <w:szCs w:val="20"/>
          <w:color w:val="auto"/>
        </w:rPr>
      </w:pPr>
    </w:p>
    <w:p>
      <w:pPr>
        <w:ind w:left="2200" w:right="359" w:hanging="338"/>
        <w:spacing w:after="0" w:line="256" w:lineRule="auto"/>
        <w:tabs>
          <w:tab w:leader="none" w:pos="22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delivered to the Trustee an Officers’ Certificate and an Opinion of Counsel, each stating that such consolidation, merger, conveyance, or transfer and such supplemental indenture complies with this provision and that such supplemental indenture constitutes the legal, valid and binding obligation of the successor Person subject to customary exceptions.</w:t>
      </w:r>
    </w:p>
    <w:p>
      <w:pPr>
        <w:spacing w:after="0" w:line="221"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color w:val="auto"/>
        </w:rPr>
        <w:t>Events of Default</w:t>
      </w:r>
    </w:p>
    <w:p>
      <w:pPr>
        <w:spacing w:after="0" w:line="90"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4"/>
          <w:szCs w:val="14"/>
          <w:color w:val="auto"/>
        </w:rPr>
        <w:t>“Event of Default” means with respect to any series of debt securities, any of the following:</w:t>
      </w:r>
    </w:p>
    <w:p>
      <w:pPr>
        <w:spacing w:after="0" w:line="96" w:lineRule="exact"/>
        <w:rPr>
          <w:sz w:val="20"/>
          <w:szCs w:val="20"/>
          <w:color w:val="auto"/>
        </w:rPr>
      </w:pPr>
    </w:p>
    <w:p>
      <w:pPr>
        <w:ind w:left="2200" w:right="359" w:hanging="338"/>
        <w:spacing w:after="0" w:line="267" w:lineRule="auto"/>
        <w:tabs>
          <w:tab w:leader="none" w:pos="22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default in the payment of interest upon any debt security of that series when it becomes due and payable, and continuance of such default for a period of 30 days;</w:t>
      </w:r>
    </w:p>
    <w:p>
      <w:pPr>
        <w:spacing w:after="0" w:line="63" w:lineRule="exact"/>
        <w:rPr>
          <w:rFonts w:ascii="Times New Roman" w:cs="Times New Roman" w:eastAsia="Times New Roman" w:hAnsi="Times New Roman"/>
          <w:sz w:val="14"/>
          <w:szCs w:val="14"/>
          <w:color w:val="auto"/>
        </w:rPr>
      </w:pPr>
    </w:p>
    <w:p>
      <w:pPr>
        <w:ind w:left="2200" w:hanging="338"/>
        <w:spacing w:after="0"/>
        <w:tabs>
          <w:tab w:leader="none" w:pos="22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default in the payment of principal of or premium, if any, on any debt security of that series at its maturity, or otherwise;</w:t>
      </w:r>
    </w:p>
    <w:p>
      <w:pPr>
        <w:spacing w:after="0" w:line="95" w:lineRule="exact"/>
        <w:rPr>
          <w:rFonts w:ascii="Times New Roman" w:cs="Times New Roman" w:eastAsia="Times New Roman" w:hAnsi="Times New Roman"/>
          <w:sz w:val="14"/>
          <w:szCs w:val="14"/>
          <w:color w:val="auto"/>
        </w:rPr>
      </w:pPr>
    </w:p>
    <w:p>
      <w:pPr>
        <w:ind w:left="2200" w:right="439" w:hanging="338"/>
        <w:spacing w:after="0" w:line="256" w:lineRule="auto"/>
        <w:tabs>
          <w:tab w:leader="none" w:pos="22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by us or any guarantor of the debt securities of that series to comply with any of its agreements in that series of debt securities, the relevant Indenture, or its guarantee of that series of debt securities (collectively, a “Covenant Default”), for a period of 90 days after written notice specified below;</w:t>
      </w:r>
    </w:p>
    <w:p>
      <w:pPr>
        <w:spacing w:after="0" w:line="70" w:lineRule="exact"/>
        <w:rPr>
          <w:rFonts w:ascii="Times New Roman" w:cs="Times New Roman" w:eastAsia="Times New Roman" w:hAnsi="Times New Roman"/>
          <w:sz w:val="14"/>
          <w:szCs w:val="14"/>
          <w:color w:val="auto"/>
        </w:rPr>
      </w:pPr>
    </w:p>
    <w:p>
      <w:pPr>
        <w:ind w:left="2200" w:right="399" w:hanging="338"/>
        <w:spacing w:after="0" w:line="256" w:lineRule="auto"/>
        <w:tabs>
          <w:tab w:leader="none" w:pos="22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guarantee with respect to the debt securities of that series ceases for any reason to be, or is asserted by us or the guarantor not to be, in full force and effect and enforceable in accordance with its terms except to the extent contemplated in the relevant Indenture or the guarantee of that series of debt securities;</w:t>
      </w:r>
    </w:p>
    <w:p>
      <w:pPr>
        <w:spacing w:after="0" w:line="70" w:lineRule="exact"/>
        <w:rPr>
          <w:rFonts w:ascii="Times New Roman" w:cs="Times New Roman" w:eastAsia="Times New Roman" w:hAnsi="Times New Roman"/>
          <w:sz w:val="14"/>
          <w:szCs w:val="14"/>
          <w:color w:val="auto"/>
        </w:rPr>
      </w:pPr>
    </w:p>
    <w:p>
      <w:pPr>
        <w:ind w:left="2200" w:right="619" w:hanging="338"/>
        <w:spacing w:after="0" w:line="267" w:lineRule="auto"/>
        <w:tabs>
          <w:tab w:leader="none" w:pos="22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voluntary or involuntary events of bankruptcy, insolvency or reorganization of us or any guarantor of the debt securities of that series; and</w:t>
      </w:r>
    </w:p>
    <w:p>
      <w:pPr>
        <w:spacing w:after="0" w:line="63" w:lineRule="exact"/>
        <w:rPr>
          <w:rFonts w:ascii="Times New Roman" w:cs="Times New Roman" w:eastAsia="Times New Roman" w:hAnsi="Times New Roman"/>
          <w:sz w:val="14"/>
          <w:szCs w:val="14"/>
          <w:color w:val="auto"/>
        </w:rPr>
      </w:pPr>
    </w:p>
    <w:p>
      <w:pPr>
        <w:ind w:left="2200" w:right="899" w:hanging="338"/>
        <w:spacing w:after="0" w:line="267" w:lineRule="auto"/>
        <w:tabs>
          <w:tab w:leader="none" w:pos="22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Event of Default provided with respect to the debt securities of that series that is described in the applicable prospectus supplement.</w:t>
      </w:r>
    </w:p>
    <w:p>
      <w:pPr>
        <w:spacing w:after="0" w:line="135" w:lineRule="exact"/>
        <w:rPr>
          <w:sz w:val="20"/>
          <w:szCs w:val="20"/>
          <w:color w:val="auto"/>
        </w:rPr>
      </w:pPr>
    </w:p>
    <w:p>
      <w:pPr>
        <w:ind w:left="1460" w:right="499" w:firstLine="335"/>
        <w:spacing w:after="0" w:line="252" w:lineRule="auto"/>
        <w:rPr>
          <w:sz w:val="20"/>
          <w:szCs w:val="20"/>
          <w:color w:val="auto"/>
        </w:rPr>
      </w:pPr>
      <w:r>
        <w:rPr>
          <w:rFonts w:ascii="Times New Roman" w:cs="Times New Roman" w:eastAsia="Times New Roman" w:hAnsi="Times New Roman"/>
          <w:sz w:val="14"/>
          <w:szCs w:val="14"/>
          <w:color w:val="auto"/>
        </w:rPr>
        <w:t>A default constituting a Covenant Default with respect to a particular series of debt securities (except as to certain events of bankruptcy, insolvency or reorganization) is not an Event of Default until the Trustee (by written notice to us) or the holders of at least 25% in aggregate principal amount of the outstanding debt securities of that series (by written notice to us and the Trustee) gives notice of the default and we do not cure such default within 90 days after receipt of such notice.</w:t>
      </w:r>
    </w:p>
    <w:p>
      <w:pPr>
        <w:spacing w:after="0" w:line="146" w:lineRule="exact"/>
        <w:rPr>
          <w:sz w:val="20"/>
          <w:szCs w:val="20"/>
          <w:color w:val="auto"/>
        </w:rPr>
      </w:pPr>
    </w:p>
    <w:p>
      <w:pPr>
        <w:ind w:left="1460" w:right="339" w:firstLine="335"/>
        <w:spacing w:after="0" w:line="252" w:lineRule="auto"/>
        <w:rPr>
          <w:sz w:val="20"/>
          <w:szCs w:val="20"/>
          <w:color w:val="auto"/>
        </w:rPr>
      </w:pPr>
      <w:r>
        <w:rPr>
          <w:rFonts w:ascii="Times New Roman" w:cs="Times New Roman" w:eastAsia="Times New Roman" w:hAnsi="Times New Roman"/>
          <w:sz w:val="14"/>
          <w:szCs w:val="14"/>
          <w:color w:val="auto"/>
        </w:rPr>
        <w:t>No Event of Default with respect to a particular series of debt securities (except as to certain events of bankruptcy, insolvency or reorganization) necessarily constitutes an Event of Default with respect to any other series of debt securities. The occurrence of certain Events of Default or an acceleration under the relevant Indenture may constitute an event of default under certain indebtedness of ours or our Subsidiaries outstanding from time to time.</w:t>
      </w:r>
    </w:p>
    <w:p>
      <w:pPr>
        <w:spacing w:after="0" w:line="146" w:lineRule="exact"/>
        <w:rPr>
          <w:sz w:val="20"/>
          <w:szCs w:val="20"/>
          <w:color w:val="auto"/>
        </w:rPr>
      </w:pPr>
    </w:p>
    <w:p>
      <w:pPr>
        <w:ind w:left="1460" w:right="399" w:firstLine="335"/>
        <w:spacing w:after="0" w:line="247" w:lineRule="auto"/>
        <w:rPr>
          <w:sz w:val="20"/>
          <w:szCs w:val="20"/>
          <w:color w:val="auto"/>
        </w:rPr>
      </w:pPr>
      <w:r>
        <w:rPr>
          <w:rFonts w:ascii="Times New Roman" w:cs="Times New Roman" w:eastAsia="Times New Roman" w:hAnsi="Times New Roman"/>
          <w:sz w:val="14"/>
          <w:szCs w:val="14"/>
          <w:color w:val="auto"/>
        </w:rPr>
        <w:t>In the case of an Event of Default resulting from certain events of bankruptcy, insolvency or reorganization, the principal of and accrued and unpaid interest, if any, on all outstanding debt securities will become and be immediately due and payable without any declaration or other act on the part of the Trustee or any holder of outstanding debt securities. If any other Event of Default with respect to debt securities of any series at the time outstanding occurs and is continuing, then the Trustee or the holders of not less than 25% in principal amount of the outstanding debt securities of that series may, by a notice in writing to us (and to the Trustee if given by the holders), declare to be due and payable immediately the principal of and accrued and unpaid interest, if any, on all debt securities of that series. At any time after a declaration of acceleration with respect to debt securities of any series has been made, the holders of a majority in principal amount of the outstanding debt securities of that series may rescind the acceleration and its consequences if all Events of Default, other than the nonpayment of accelerated principal and interest, if any, with respect to debt securities of that series, have been cured or waived as provided in the relevant Indenture. We refer you to the applicable prospectus supplement relating to any series of debt securities that are discount securities for the particular provisions relating to acceleration of a portion of the principal amount of such discount securities upon the occurrence of an Event of Default.</w:t>
      </w:r>
    </w:p>
    <w:p>
      <w:pPr>
        <w:spacing w:after="0" w:line="9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14</w:t>
      </w:r>
    </w:p>
    <w:p>
      <w:pPr>
        <w:sectPr>
          <w:pgSz w:w="11900" w:h="16838" w:orient="portrait"/>
          <w:cols w:equalWidth="0" w:num="1">
            <w:col w:w="10159"/>
          </w:cols>
          <w:pgMar w:left="300" w:top="380" w:right="1440"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2">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44" w:lineRule="exact"/>
        <w:rPr>
          <w:sz w:val="20"/>
          <w:szCs w:val="20"/>
          <w:color w:val="auto"/>
        </w:rPr>
      </w:pPr>
    </w:p>
    <w:p>
      <w:pPr>
        <w:ind w:left="1460" w:right="399" w:firstLine="335"/>
        <w:spacing w:after="0" w:line="250" w:lineRule="auto"/>
        <w:rPr>
          <w:sz w:val="20"/>
          <w:szCs w:val="20"/>
          <w:color w:val="auto"/>
        </w:rPr>
      </w:pPr>
      <w:r>
        <w:rPr>
          <w:rFonts w:ascii="Times New Roman" w:cs="Times New Roman" w:eastAsia="Times New Roman" w:hAnsi="Times New Roman"/>
          <w:sz w:val="14"/>
          <w:szCs w:val="14"/>
          <w:color w:val="auto"/>
        </w:rPr>
        <w:t>The Indentures provide that the Trustee may refuse to perform any duty or exercise any of its rights or powers under the relevant Indenture unless the Trustee receives indemnity and/or security reasonably satisfactory to it against any loss, liability or expense which might be incurred by it in performing such duty or exercising such right or power. Subject to certain rights of the Trustee,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w:t>
      </w:r>
    </w:p>
    <w:p>
      <w:pPr>
        <w:spacing w:after="0" w:line="148" w:lineRule="exact"/>
        <w:rPr>
          <w:sz w:val="20"/>
          <w:szCs w:val="20"/>
          <w:color w:val="auto"/>
        </w:rPr>
      </w:pPr>
    </w:p>
    <w:p>
      <w:pPr>
        <w:ind w:left="1460" w:right="379" w:firstLine="335"/>
        <w:spacing w:after="0" w:line="267" w:lineRule="auto"/>
        <w:rPr>
          <w:sz w:val="20"/>
          <w:szCs w:val="20"/>
          <w:color w:val="auto"/>
        </w:rPr>
      </w:pPr>
      <w:r>
        <w:rPr>
          <w:rFonts w:ascii="Times New Roman" w:cs="Times New Roman" w:eastAsia="Times New Roman" w:hAnsi="Times New Roman"/>
          <w:sz w:val="14"/>
          <w:szCs w:val="14"/>
          <w:color w:val="auto"/>
        </w:rPr>
        <w:t>No holder of any debt security of any series will have any right to pursue any remedy under the relevant Indenture or that series of debt securities, unless:</w:t>
      </w:r>
    </w:p>
    <w:p>
      <w:pPr>
        <w:spacing w:after="0" w:line="63" w:lineRule="exact"/>
        <w:rPr>
          <w:sz w:val="20"/>
          <w:szCs w:val="20"/>
          <w:color w:val="auto"/>
        </w:rPr>
      </w:pPr>
    </w:p>
    <w:p>
      <w:pPr>
        <w:ind w:left="2200" w:right="339" w:hanging="338"/>
        <w:spacing w:after="0" w:line="267" w:lineRule="auto"/>
        <w:tabs>
          <w:tab w:leader="none" w:pos="22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Event of Default has occurred and is continuing, and that holder has previously given to the Trustee written notice of a continuing Event of Default with respect to debt securities of that series; and</w:t>
      </w:r>
    </w:p>
    <w:p>
      <w:pPr>
        <w:spacing w:after="0" w:line="63" w:lineRule="exact"/>
        <w:rPr>
          <w:rFonts w:ascii="Times New Roman" w:cs="Times New Roman" w:eastAsia="Times New Roman" w:hAnsi="Times New Roman"/>
          <w:sz w:val="14"/>
          <w:szCs w:val="14"/>
          <w:color w:val="auto"/>
        </w:rPr>
      </w:pPr>
    </w:p>
    <w:p>
      <w:pPr>
        <w:ind w:left="2200" w:right="419" w:hanging="338"/>
        <w:spacing w:after="0" w:line="250" w:lineRule="auto"/>
        <w:tabs>
          <w:tab w:leader="none" w:pos="22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holders of not less than 25% in principal amount of the outstanding debt securities of that series have made a written request to the Trustee, and offered indemnity and/or security reasonably satisfactory to the Trustee, to pursue the remedy as Trustee, and the Trustee has not received from the holders of not less than a majority in principal amount of the outstanding debt securities of that series a direction inconsistent with that request within the 60-day period after the request is delivered, and the Trustee has failed to institute the proceeding within 60 days after receipt of the request and the offer or security and/or indemnity.</w:t>
      </w:r>
    </w:p>
    <w:p>
      <w:pPr>
        <w:spacing w:after="0" w:line="148" w:lineRule="exact"/>
        <w:rPr>
          <w:sz w:val="20"/>
          <w:szCs w:val="20"/>
          <w:color w:val="auto"/>
        </w:rPr>
      </w:pPr>
    </w:p>
    <w:p>
      <w:pPr>
        <w:ind w:left="1460" w:right="339" w:firstLine="335"/>
        <w:spacing w:after="0" w:line="256" w:lineRule="auto"/>
        <w:rPr>
          <w:sz w:val="20"/>
          <w:szCs w:val="20"/>
          <w:color w:val="auto"/>
        </w:rPr>
      </w:pPr>
      <w:r>
        <w:rPr>
          <w:rFonts w:ascii="Times New Roman" w:cs="Times New Roman" w:eastAsia="Times New Roman" w:hAnsi="Times New Roman"/>
          <w:sz w:val="14"/>
          <w:szCs w:val="14"/>
          <w:color w:val="auto"/>
        </w:rPr>
        <w:t>Notwithstanding any other provision in the relevant Indenture, the holder of any series of debt security will have an absolute and unconditional right to receive payment of the principal, premium and any interest on that debt security on or after the due dates expressed in that series of debt security and to institute suit for the enforcement of payment.</w:t>
      </w:r>
    </w:p>
    <w:p>
      <w:pPr>
        <w:spacing w:after="0" w:line="143" w:lineRule="exact"/>
        <w:rPr>
          <w:sz w:val="20"/>
          <w:szCs w:val="20"/>
          <w:color w:val="auto"/>
        </w:rPr>
      </w:pPr>
    </w:p>
    <w:p>
      <w:pPr>
        <w:ind w:left="1460" w:right="659" w:firstLine="335"/>
        <w:spacing w:after="0" w:line="267" w:lineRule="auto"/>
        <w:rPr>
          <w:sz w:val="20"/>
          <w:szCs w:val="20"/>
          <w:color w:val="auto"/>
        </w:rPr>
      </w:pPr>
      <w:r>
        <w:rPr>
          <w:rFonts w:ascii="Times New Roman" w:cs="Times New Roman" w:eastAsia="Times New Roman" w:hAnsi="Times New Roman"/>
          <w:sz w:val="14"/>
          <w:szCs w:val="14"/>
          <w:color w:val="auto"/>
        </w:rPr>
        <w:t>Each Indenture requires us, within 120 days after the end of each fiscal year, to deliver to the Trustee a certificate as to compliance with such Indenture.</w:t>
      </w:r>
    </w:p>
    <w:p>
      <w:pPr>
        <w:spacing w:after="0" w:line="213"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color w:val="auto"/>
        </w:rPr>
        <w:t>Modification and Waiver</w:t>
      </w:r>
    </w:p>
    <w:p>
      <w:pPr>
        <w:spacing w:after="0" w:line="90" w:lineRule="exact"/>
        <w:rPr>
          <w:sz w:val="20"/>
          <w:szCs w:val="20"/>
          <w:color w:val="auto"/>
        </w:rPr>
      </w:pPr>
    </w:p>
    <w:p>
      <w:pPr>
        <w:ind w:left="1460" w:right="339" w:firstLine="335"/>
        <w:spacing w:after="0" w:line="267" w:lineRule="auto"/>
        <w:rPr>
          <w:sz w:val="20"/>
          <w:szCs w:val="20"/>
          <w:color w:val="auto"/>
        </w:rPr>
      </w:pPr>
      <w:r>
        <w:rPr>
          <w:rFonts w:ascii="Times New Roman" w:cs="Times New Roman" w:eastAsia="Times New Roman" w:hAnsi="Times New Roman"/>
          <w:sz w:val="14"/>
          <w:szCs w:val="14"/>
          <w:color w:val="auto"/>
        </w:rPr>
        <w:t>We and the Trustee may modify, amend or supplement the relevant Indenture or the debt securities of any series without notice to or the consent of any holder of any debt security:</w:t>
      </w:r>
    </w:p>
    <w:p>
      <w:pPr>
        <w:spacing w:after="0" w:line="63" w:lineRule="exact"/>
        <w:rPr>
          <w:sz w:val="20"/>
          <w:szCs w:val="20"/>
          <w:color w:val="auto"/>
        </w:rPr>
      </w:pPr>
    </w:p>
    <w:p>
      <w:pPr>
        <w:ind w:left="2200" w:hanging="338"/>
        <w:spacing w:after="0"/>
        <w:tabs>
          <w:tab w:leader="none" w:pos="22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cure any ambiguity, omission, defect or inconsistency;</w:t>
      </w:r>
    </w:p>
    <w:p>
      <w:pPr>
        <w:spacing w:after="0" w:line="95" w:lineRule="exact"/>
        <w:rPr>
          <w:rFonts w:ascii="Times New Roman" w:cs="Times New Roman" w:eastAsia="Times New Roman" w:hAnsi="Times New Roman"/>
          <w:sz w:val="14"/>
          <w:szCs w:val="14"/>
          <w:color w:val="auto"/>
        </w:rPr>
      </w:pPr>
    </w:p>
    <w:p>
      <w:pPr>
        <w:ind w:left="2200" w:right="319" w:hanging="338"/>
        <w:spacing w:after="0" w:line="267" w:lineRule="auto"/>
        <w:tabs>
          <w:tab w:leader="none" w:pos="22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evidence the succession of another Person to us (or any guarantor) and the assumption by any such successor of our obligations (or those of any guarantor) in accordance with “Consolidation, Merger and Sale of Assets”;</w:t>
      </w:r>
    </w:p>
    <w:p>
      <w:pPr>
        <w:spacing w:after="0" w:line="63" w:lineRule="exact"/>
        <w:rPr>
          <w:rFonts w:ascii="Times New Roman" w:cs="Times New Roman" w:eastAsia="Times New Roman" w:hAnsi="Times New Roman"/>
          <w:sz w:val="14"/>
          <w:szCs w:val="14"/>
          <w:color w:val="auto"/>
        </w:rPr>
      </w:pPr>
    </w:p>
    <w:p>
      <w:pPr>
        <w:ind w:left="2200" w:hanging="338"/>
        <w:spacing w:after="0"/>
        <w:tabs>
          <w:tab w:leader="none" w:pos="22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add any additional Events of Default;</w:t>
      </w:r>
    </w:p>
    <w:p>
      <w:pPr>
        <w:spacing w:after="0" w:line="95" w:lineRule="exact"/>
        <w:rPr>
          <w:rFonts w:ascii="Times New Roman" w:cs="Times New Roman" w:eastAsia="Times New Roman" w:hAnsi="Times New Roman"/>
          <w:sz w:val="14"/>
          <w:szCs w:val="14"/>
          <w:color w:val="auto"/>
        </w:rPr>
      </w:pPr>
    </w:p>
    <w:p>
      <w:pPr>
        <w:ind w:left="2200" w:right="479" w:hanging="338"/>
        <w:spacing w:after="0" w:line="267" w:lineRule="auto"/>
        <w:tabs>
          <w:tab w:leader="none" w:pos="22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add covenants for the benefit of the holders of all of the debt securities of any series or to surrender any right or power conferred upon us by the relevant Indenture;</w:t>
      </w:r>
    </w:p>
    <w:p>
      <w:pPr>
        <w:spacing w:after="0" w:line="63" w:lineRule="exact"/>
        <w:rPr>
          <w:rFonts w:ascii="Times New Roman" w:cs="Times New Roman" w:eastAsia="Times New Roman" w:hAnsi="Times New Roman"/>
          <w:sz w:val="14"/>
          <w:szCs w:val="14"/>
          <w:color w:val="auto"/>
        </w:rPr>
      </w:pPr>
    </w:p>
    <w:p>
      <w:pPr>
        <w:ind w:left="2200" w:right="659" w:hanging="338"/>
        <w:spacing w:after="0" w:line="267" w:lineRule="auto"/>
        <w:tabs>
          <w:tab w:leader="none" w:pos="22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add one or more guarantees for the benefit of the holders of the debt securities of that series or to release one or more guarantees in accordance with the relevant Indenture or any supplemental indenture thereto;</w:t>
      </w:r>
    </w:p>
    <w:p>
      <w:pPr>
        <w:spacing w:after="0" w:line="63" w:lineRule="exact"/>
        <w:rPr>
          <w:rFonts w:ascii="Times New Roman" w:cs="Times New Roman" w:eastAsia="Times New Roman" w:hAnsi="Times New Roman"/>
          <w:sz w:val="14"/>
          <w:szCs w:val="14"/>
          <w:color w:val="auto"/>
        </w:rPr>
      </w:pPr>
    </w:p>
    <w:p>
      <w:pPr>
        <w:ind w:left="2200" w:hanging="338"/>
        <w:spacing w:after="0"/>
        <w:tabs>
          <w:tab w:leader="none" w:pos="22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add collateral security with respect to the debt securities of that series;</w:t>
      </w:r>
    </w:p>
    <w:p>
      <w:pPr>
        <w:spacing w:after="0" w:line="95" w:lineRule="exact"/>
        <w:rPr>
          <w:rFonts w:ascii="Times New Roman" w:cs="Times New Roman" w:eastAsia="Times New Roman" w:hAnsi="Times New Roman"/>
          <w:sz w:val="14"/>
          <w:szCs w:val="14"/>
          <w:color w:val="auto"/>
        </w:rPr>
      </w:pPr>
    </w:p>
    <w:p>
      <w:pPr>
        <w:ind w:left="2200" w:hanging="338"/>
        <w:spacing w:after="0"/>
        <w:tabs>
          <w:tab w:leader="none" w:pos="22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add or appoint a successor or separate Trustee or other agent;</w:t>
      </w:r>
    </w:p>
    <w:p>
      <w:pPr>
        <w:spacing w:after="0" w:line="95" w:lineRule="exact"/>
        <w:rPr>
          <w:rFonts w:ascii="Times New Roman" w:cs="Times New Roman" w:eastAsia="Times New Roman" w:hAnsi="Times New Roman"/>
          <w:sz w:val="14"/>
          <w:szCs w:val="14"/>
          <w:color w:val="auto"/>
        </w:rPr>
      </w:pPr>
    </w:p>
    <w:p>
      <w:pPr>
        <w:ind w:left="2200" w:hanging="338"/>
        <w:spacing w:after="0"/>
        <w:tabs>
          <w:tab w:leader="none" w:pos="22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provide for the issuance of any debt securities or additional debt securities of that series;</w:t>
      </w:r>
    </w:p>
    <w:p>
      <w:pPr>
        <w:spacing w:after="0" w:line="95" w:lineRule="exact"/>
        <w:rPr>
          <w:rFonts w:ascii="Times New Roman" w:cs="Times New Roman" w:eastAsia="Times New Roman" w:hAnsi="Times New Roman"/>
          <w:sz w:val="14"/>
          <w:szCs w:val="14"/>
          <w:color w:val="auto"/>
        </w:rPr>
      </w:pPr>
    </w:p>
    <w:p>
      <w:pPr>
        <w:ind w:left="2200" w:hanging="338"/>
        <w:spacing w:after="0"/>
        <w:tabs>
          <w:tab w:leader="none" w:pos="22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comply with any requirements in connection with qualifying the relevant Indenture under the Trust Indenture Act;</w:t>
      </w:r>
    </w:p>
    <w:p>
      <w:pPr>
        <w:spacing w:after="0" w:line="11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15</w:t>
      </w:r>
    </w:p>
    <w:p>
      <w:pPr>
        <w:sectPr>
          <w:pgSz w:w="11900" w:h="16838" w:orient="portrait"/>
          <w:cols w:equalWidth="0" w:num="1">
            <w:col w:w="10159"/>
          </w:cols>
          <w:pgMar w:left="300" w:top="380" w:right="1440"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3">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44" w:lineRule="exact"/>
        <w:rPr>
          <w:sz w:val="20"/>
          <w:szCs w:val="20"/>
          <w:color w:val="auto"/>
        </w:rPr>
      </w:pPr>
    </w:p>
    <w:p>
      <w:pPr>
        <w:ind w:left="2200" w:hanging="338"/>
        <w:spacing w:after="0"/>
        <w:tabs>
          <w:tab w:leader="none" w:pos="22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comply with the rules of any applicable securities depository;</w:t>
      </w:r>
    </w:p>
    <w:p>
      <w:pPr>
        <w:spacing w:after="0" w:line="95" w:lineRule="exact"/>
        <w:rPr>
          <w:rFonts w:ascii="Times New Roman" w:cs="Times New Roman" w:eastAsia="Times New Roman" w:hAnsi="Times New Roman"/>
          <w:sz w:val="14"/>
          <w:szCs w:val="14"/>
          <w:color w:val="auto"/>
        </w:rPr>
      </w:pPr>
    </w:p>
    <w:p>
      <w:pPr>
        <w:ind w:left="2200" w:right="1039" w:hanging="338"/>
        <w:spacing w:after="0" w:line="267" w:lineRule="auto"/>
        <w:tabs>
          <w:tab w:leader="none" w:pos="22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provide for uncertificated debt securities in addition to or in place of certificated debt securities; provided, however, that the uncertificated debt securities are issued in registered form for purposes of Section 163(f) of the Code;</w:t>
      </w:r>
    </w:p>
    <w:p>
      <w:pPr>
        <w:spacing w:after="0" w:line="63" w:lineRule="exact"/>
        <w:rPr>
          <w:rFonts w:ascii="Times New Roman" w:cs="Times New Roman" w:eastAsia="Times New Roman" w:hAnsi="Times New Roman"/>
          <w:sz w:val="14"/>
          <w:szCs w:val="14"/>
          <w:color w:val="auto"/>
        </w:rPr>
      </w:pPr>
    </w:p>
    <w:p>
      <w:pPr>
        <w:ind w:left="2200" w:right="359" w:hanging="338"/>
        <w:spacing w:after="0" w:line="256" w:lineRule="auto"/>
        <w:tabs>
          <w:tab w:leader="none" w:pos="22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conform the provisions of the relevant Indenture to the “Description of Notes,” “Description of the Notes and Guarantees,” “Description of Debt Securities” and any similar sections of any offering memorandum or prospectus prepared in connection with the issuance of the debt securities of that series;</w:t>
      </w:r>
    </w:p>
    <w:p>
      <w:pPr>
        <w:spacing w:after="0" w:line="70" w:lineRule="exact"/>
        <w:rPr>
          <w:rFonts w:ascii="Times New Roman" w:cs="Times New Roman" w:eastAsia="Times New Roman" w:hAnsi="Times New Roman"/>
          <w:sz w:val="14"/>
          <w:szCs w:val="14"/>
          <w:color w:val="auto"/>
        </w:rPr>
      </w:pPr>
    </w:p>
    <w:p>
      <w:pPr>
        <w:ind w:left="2200" w:hanging="338"/>
        <w:spacing w:after="0"/>
        <w:tabs>
          <w:tab w:leader="none" w:pos="22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make changes to the relevant Indenture applicable only to other series of debt securities issuable thereunder; and</w:t>
      </w:r>
    </w:p>
    <w:p>
      <w:pPr>
        <w:spacing w:after="0" w:line="95" w:lineRule="exact"/>
        <w:rPr>
          <w:rFonts w:ascii="Times New Roman" w:cs="Times New Roman" w:eastAsia="Times New Roman" w:hAnsi="Times New Roman"/>
          <w:sz w:val="14"/>
          <w:szCs w:val="14"/>
          <w:color w:val="auto"/>
        </w:rPr>
      </w:pPr>
    </w:p>
    <w:p>
      <w:pPr>
        <w:ind w:left="2200" w:hanging="338"/>
        <w:spacing w:after="0"/>
        <w:tabs>
          <w:tab w:leader="none" w:pos="22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change any other provision if the change does not adversely affect the interests of any holder of debt securities of that series.</w:t>
      </w:r>
    </w:p>
    <w:p>
      <w:pPr>
        <w:spacing w:after="0" w:line="168" w:lineRule="exact"/>
        <w:rPr>
          <w:sz w:val="20"/>
          <w:szCs w:val="20"/>
          <w:color w:val="auto"/>
        </w:rPr>
      </w:pPr>
    </w:p>
    <w:p>
      <w:pPr>
        <w:ind w:left="1460" w:right="459" w:firstLine="335"/>
        <w:spacing w:after="0" w:line="256" w:lineRule="auto"/>
        <w:rPr>
          <w:sz w:val="20"/>
          <w:szCs w:val="20"/>
          <w:color w:val="auto"/>
        </w:rPr>
      </w:pPr>
      <w:r>
        <w:rPr>
          <w:rFonts w:ascii="Times New Roman" w:cs="Times New Roman" w:eastAsia="Times New Roman" w:hAnsi="Times New Roman"/>
          <w:sz w:val="14"/>
          <w:szCs w:val="14"/>
          <w:color w:val="auto"/>
        </w:rPr>
        <w:t>We may also modify and amend the relevant Indenture with the written consent of the holders of at least a majority in principal amount of the outstanding debt securities of each series affected by the modifications or amendments. We may not make any modification or amendment without the consent of each affected holder of a series of debt securities then outstanding if that amendment will:</w:t>
      </w:r>
    </w:p>
    <w:p>
      <w:pPr>
        <w:spacing w:after="0" w:line="71" w:lineRule="exact"/>
        <w:rPr>
          <w:sz w:val="20"/>
          <w:szCs w:val="20"/>
          <w:color w:val="auto"/>
        </w:rPr>
      </w:pPr>
    </w:p>
    <w:p>
      <w:pPr>
        <w:ind w:left="2200" w:hanging="338"/>
        <w:spacing w:after="0"/>
        <w:tabs>
          <w:tab w:leader="none" w:pos="220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 the stated maturity of the principal of, or installment of interest on, any debt security of such series;</w:t>
      </w:r>
    </w:p>
    <w:p>
      <w:pPr>
        <w:spacing w:after="0" w:line="95" w:lineRule="exact"/>
        <w:rPr>
          <w:rFonts w:ascii="Times New Roman" w:cs="Times New Roman" w:eastAsia="Times New Roman" w:hAnsi="Times New Roman"/>
          <w:sz w:val="14"/>
          <w:szCs w:val="14"/>
          <w:color w:val="auto"/>
        </w:rPr>
      </w:pPr>
    </w:p>
    <w:p>
      <w:pPr>
        <w:ind w:left="2200" w:hanging="338"/>
        <w:spacing w:after="0"/>
        <w:tabs>
          <w:tab w:leader="none" w:pos="220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principal amount of, or the rate of interest on, any debt security of such series;</w:t>
      </w:r>
    </w:p>
    <w:p>
      <w:pPr>
        <w:spacing w:after="0" w:line="95" w:lineRule="exact"/>
        <w:rPr>
          <w:rFonts w:ascii="Times New Roman" w:cs="Times New Roman" w:eastAsia="Times New Roman" w:hAnsi="Times New Roman"/>
          <w:sz w:val="14"/>
          <w:szCs w:val="14"/>
          <w:color w:val="auto"/>
        </w:rPr>
      </w:pPr>
    </w:p>
    <w:p>
      <w:pPr>
        <w:ind w:left="2200" w:right="379" w:hanging="338"/>
        <w:spacing w:after="0" w:line="267" w:lineRule="auto"/>
        <w:tabs>
          <w:tab w:leader="none" w:pos="220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any premium payable on the redemption or required repurchase of any debt security of such series or change the date on which any debt security of such series may or must be redeemed, repaid or required to be repurchased;</w:t>
      </w:r>
    </w:p>
    <w:p>
      <w:pPr>
        <w:spacing w:after="0" w:line="63" w:lineRule="exact"/>
        <w:rPr>
          <w:rFonts w:ascii="Times New Roman" w:cs="Times New Roman" w:eastAsia="Times New Roman" w:hAnsi="Times New Roman"/>
          <w:sz w:val="14"/>
          <w:szCs w:val="14"/>
          <w:color w:val="auto"/>
        </w:rPr>
      </w:pPr>
    </w:p>
    <w:p>
      <w:pPr>
        <w:ind w:left="2200" w:hanging="338"/>
        <w:spacing w:after="0"/>
        <w:tabs>
          <w:tab w:leader="none" w:pos="220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 the coin or currency in which the principal of, premium, if any, or interest on any debt security of such series is payable;</w:t>
      </w:r>
    </w:p>
    <w:p>
      <w:pPr>
        <w:spacing w:after="0" w:line="95" w:lineRule="exact"/>
        <w:rPr>
          <w:rFonts w:ascii="Times New Roman" w:cs="Times New Roman" w:eastAsia="Times New Roman" w:hAnsi="Times New Roman"/>
          <w:sz w:val="14"/>
          <w:szCs w:val="14"/>
          <w:color w:val="auto"/>
        </w:rPr>
      </w:pPr>
    </w:p>
    <w:p>
      <w:pPr>
        <w:ind w:left="2200" w:right="419" w:hanging="338"/>
        <w:spacing w:after="0" w:line="267" w:lineRule="auto"/>
        <w:tabs>
          <w:tab w:leader="none" w:pos="220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impair the right of any holder of such series to institute suit for the enforcement of any payment on or after the stated maturity of any debt security of such series;</w:t>
      </w:r>
    </w:p>
    <w:p>
      <w:pPr>
        <w:spacing w:after="0" w:line="63" w:lineRule="exact"/>
        <w:rPr>
          <w:rFonts w:ascii="Times New Roman" w:cs="Times New Roman" w:eastAsia="Times New Roman" w:hAnsi="Times New Roman"/>
          <w:sz w:val="14"/>
          <w:szCs w:val="14"/>
          <w:color w:val="auto"/>
        </w:rPr>
      </w:pPr>
    </w:p>
    <w:p>
      <w:pPr>
        <w:ind w:left="2200" w:right="379" w:hanging="338"/>
        <w:spacing w:after="0" w:line="267" w:lineRule="auto"/>
        <w:tabs>
          <w:tab w:leader="none" w:pos="220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percentage in principal amount of the outstanding debt security of such series, the consent of whose holders is required in order to take certain actions;</w:t>
      </w:r>
    </w:p>
    <w:p>
      <w:pPr>
        <w:spacing w:after="0" w:line="63" w:lineRule="exact"/>
        <w:rPr>
          <w:rFonts w:ascii="Times New Roman" w:cs="Times New Roman" w:eastAsia="Times New Roman" w:hAnsi="Times New Roman"/>
          <w:sz w:val="14"/>
          <w:szCs w:val="14"/>
          <w:color w:val="auto"/>
        </w:rPr>
      </w:pPr>
    </w:p>
    <w:p>
      <w:pPr>
        <w:ind w:left="2200" w:hanging="338"/>
        <w:spacing w:after="0"/>
        <w:tabs>
          <w:tab w:leader="none" w:pos="220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requirements for quorum or voting by holders in the relevant Indenture or the debt securities of such series;</w:t>
      </w:r>
    </w:p>
    <w:p>
      <w:pPr>
        <w:spacing w:after="0" w:line="95" w:lineRule="exact"/>
        <w:rPr>
          <w:rFonts w:ascii="Times New Roman" w:cs="Times New Roman" w:eastAsia="Times New Roman" w:hAnsi="Times New Roman"/>
          <w:sz w:val="14"/>
          <w:szCs w:val="14"/>
          <w:color w:val="auto"/>
        </w:rPr>
      </w:pPr>
    </w:p>
    <w:p>
      <w:pPr>
        <w:ind w:left="2200" w:right="379" w:hanging="338"/>
        <w:spacing w:after="0" w:line="256" w:lineRule="auto"/>
        <w:tabs>
          <w:tab w:leader="none" w:pos="220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modify any of the provisions of the relevant Indenture regarding the waiver of past defaults and the waiver of certain covenants by holders except to increase any percentage vote required or to provide that certain other provisions of the relevant Indenture cannot be modified or waived without the consent of the holder of each debt security affected thereby; or</w:t>
      </w:r>
    </w:p>
    <w:p>
      <w:pPr>
        <w:spacing w:after="0" w:line="70" w:lineRule="exact"/>
        <w:rPr>
          <w:rFonts w:ascii="Times New Roman" w:cs="Times New Roman" w:eastAsia="Times New Roman" w:hAnsi="Times New Roman"/>
          <w:sz w:val="14"/>
          <w:szCs w:val="14"/>
          <w:color w:val="auto"/>
        </w:rPr>
      </w:pPr>
    </w:p>
    <w:p>
      <w:pPr>
        <w:ind w:left="2200" w:hanging="338"/>
        <w:spacing w:after="0"/>
        <w:tabs>
          <w:tab w:leader="none" w:pos="220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modify any of the above provisions.</w:t>
      </w:r>
    </w:p>
    <w:p>
      <w:pPr>
        <w:spacing w:after="0" w:line="168" w:lineRule="exact"/>
        <w:rPr>
          <w:sz w:val="20"/>
          <w:szCs w:val="20"/>
          <w:color w:val="auto"/>
        </w:rPr>
      </w:pPr>
    </w:p>
    <w:p>
      <w:pPr>
        <w:ind w:left="1460" w:right="359" w:firstLine="335"/>
        <w:spacing w:after="0" w:line="272" w:lineRule="auto"/>
        <w:rPr>
          <w:sz w:val="20"/>
          <w:szCs w:val="20"/>
          <w:color w:val="auto"/>
        </w:rPr>
      </w:pPr>
      <w:r>
        <w:rPr>
          <w:rFonts w:ascii="Times New Roman" w:cs="Times New Roman" w:eastAsia="Times New Roman" w:hAnsi="Times New Roman"/>
          <w:sz w:val="13"/>
          <w:szCs w:val="13"/>
          <w:color w:val="auto"/>
        </w:rPr>
        <w:t>Except for certain specified provisions, the holders of at least a majority in principal amount of the outstanding debt securities of any series may on behalf of the holders of all debt securities of that series waive our compliance with provisions of the relevant Indenture. The holders of a majority in principal amount of the outstanding debt securities of any series may on behalf of the holders of all the debt securities of such series waive any past default under the relevant Indenture with respect to that series and its consequences, except a default in the payment of the principal, premium or any interest on any debt security of that series; provided, however, that the holders of a majority in principal amount of the outstanding debt securities of any series may rescind an acceleration and its consequences, including any related payment default that resulted from the acceleration.</w:t>
      </w:r>
    </w:p>
    <w:p>
      <w:pPr>
        <w:spacing w:after="0" w:line="8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16</w:t>
      </w:r>
    </w:p>
    <w:p>
      <w:pPr>
        <w:sectPr>
          <w:pgSz w:w="11900" w:h="16838" w:orient="portrait"/>
          <w:cols w:equalWidth="0" w:num="1">
            <w:col w:w="10159"/>
          </w:cols>
          <w:pgMar w:left="300" w:top="380" w:right="1440"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4">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40"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color w:val="auto"/>
        </w:rPr>
        <w:t>Discharge of Debt Securities</w:t>
      </w:r>
    </w:p>
    <w:p>
      <w:pPr>
        <w:spacing w:after="0" w:line="90" w:lineRule="exact"/>
        <w:rPr>
          <w:sz w:val="20"/>
          <w:szCs w:val="20"/>
          <w:color w:val="auto"/>
        </w:rPr>
      </w:pPr>
    </w:p>
    <w:p>
      <w:pPr>
        <w:ind w:left="1460" w:right="399" w:firstLine="335"/>
        <w:spacing w:after="0" w:line="252" w:lineRule="auto"/>
        <w:rPr>
          <w:sz w:val="20"/>
          <w:szCs w:val="20"/>
          <w:color w:val="auto"/>
        </w:rPr>
      </w:pPr>
      <w:r>
        <w:rPr>
          <w:rFonts w:ascii="Times New Roman" w:cs="Times New Roman" w:eastAsia="Times New Roman" w:hAnsi="Times New Roman"/>
          <w:sz w:val="14"/>
          <w:szCs w:val="14"/>
          <w:color w:val="auto"/>
        </w:rPr>
        <w:t>When all outstanding debt securities of any series will become due and payable at their stated maturity within one year and we have deposited (or caused to be deposited) with the Trustee cash sufficient to pay and discharge all outstanding debt securities of such series on the date of their stated maturity, then we may satisfy and discharge our obligations under the relevant Indenture with respect to such debt securities while they remain outstanding.</w:t>
      </w:r>
    </w:p>
    <w:p>
      <w:pPr>
        <w:spacing w:after="0" w:line="224"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color w:val="auto"/>
        </w:rPr>
        <w:t>No Personal Liability of Directors, Officers, Employees or Stockholders</w:t>
      </w:r>
    </w:p>
    <w:p>
      <w:pPr>
        <w:spacing w:after="0" w:line="90" w:lineRule="exact"/>
        <w:rPr>
          <w:sz w:val="20"/>
          <w:szCs w:val="20"/>
          <w:color w:val="auto"/>
        </w:rPr>
      </w:pPr>
    </w:p>
    <w:p>
      <w:pPr>
        <w:ind w:left="1460" w:right="439" w:firstLine="335"/>
        <w:spacing w:after="0" w:line="250" w:lineRule="auto"/>
        <w:rPr>
          <w:sz w:val="20"/>
          <w:szCs w:val="20"/>
          <w:color w:val="auto"/>
        </w:rPr>
      </w:pPr>
      <w:r>
        <w:rPr>
          <w:rFonts w:ascii="Times New Roman" w:cs="Times New Roman" w:eastAsia="Times New Roman" w:hAnsi="Times New Roman"/>
          <w:sz w:val="14"/>
          <w:szCs w:val="14"/>
          <w:color w:val="auto"/>
        </w:rPr>
        <w:t>None of our past, present or future directors, officers, employees or stockholders, as such, will have any liability for any of our obligations under the debt securities or the relevant Indenture or for any claim based on, or in respect or by reason of, such obligations or their creation. By accepting a debt security, each holder waives and releases all such liability. This waiver and release is part of the consideration for the issue of the debt securities. However, this waiver and release may not be effective to waive liabilities under U.S. federal securities laws, and it is the view of the SEC that such a waiver is against public policy.</w:t>
      </w:r>
    </w:p>
    <w:p>
      <w:pPr>
        <w:spacing w:after="0" w:line="226"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color w:val="auto"/>
        </w:rPr>
        <w:t>Governing Law</w:t>
      </w:r>
    </w:p>
    <w:p>
      <w:pPr>
        <w:spacing w:after="0" w:line="90"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4"/>
          <w:szCs w:val="14"/>
          <w:color w:val="auto"/>
        </w:rPr>
        <w:t>The Indentures and the debt securities will be governed by, and construed in accordance with, the internal laws of the State of New York.</w:t>
      </w:r>
    </w:p>
    <w:p>
      <w:pPr>
        <w:spacing w:after="0" w:line="246"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color w:val="auto"/>
        </w:rPr>
        <w:t>Concerning the Trustee</w:t>
      </w:r>
    </w:p>
    <w:p>
      <w:pPr>
        <w:spacing w:after="0" w:line="90" w:lineRule="exact"/>
        <w:rPr>
          <w:sz w:val="20"/>
          <w:szCs w:val="20"/>
          <w:color w:val="auto"/>
        </w:rPr>
      </w:pPr>
    </w:p>
    <w:p>
      <w:pPr>
        <w:ind w:left="1460" w:right="339" w:firstLine="335"/>
        <w:spacing w:after="0" w:line="270" w:lineRule="auto"/>
        <w:rPr>
          <w:sz w:val="20"/>
          <w:szCs w:val="20"/>
          <w:color w:val="auto"/>
        </w:rPr>
      </w:pPr>
      <w:r>
        <w:rPr>
          <w:rFonts w:ascii="Times New Roman" w:cs="Times New Roman" w:eastAsia="Times New Roman" w:hAnsi="Times New Roman"/>
          <w:sz w:val="13"/>
          <w:szCs w:val="13"/>
          <w:color w:val="auto"/>
        </w:rPr>
        <w:t>The Indentures and provisions of the Trust Indenture Act, which are incorporated by reference therein, contain limitations on the rights of the Trustee, should it become one of our creditors, to obtain payment of claims in certain cases, or to realize on property received in respect of any such claim, as security or otherwise. The Trustee and its affiliates may engage in, and will be permitted to continue to engage in, other transactions with us and our affiliates; provided, however, that if it acquires any conflicting interest (as defined in the Trust Indenture Act), it must eliminate the conflict or resign. The Trust Indenture Act and the relevant Indenture provide that in case an Event of Default shall occur (and be continuing), the Trustee will be required, in the exercise of its rights and powers, to use the same degree of care and skill of a prudent person in the conduct of such person’s own affairs. Subject to such provision, the Trustee will be under no obligation to exercise any of its rights or powers under the relevant Indenture at the request of any of the holders of the debt securities issued thereunder, unless they have offered to the Trustee security or indemnity satisfactory to it.</w:t>
      </w:r>
    </w:p>
    <w:p>
      <w:pPr>
        <w:spacing w:after="0" w:line="8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17</w:t>
      </w:r>
    </w:p>
    <w:p>
      <w:pPr>
        <w:sectPr>
          <w:pgSz w:w="11900" w:h="16838" w:orient="portrait"/>
          <w:cols w:equalWidth="0" w:num="1">
            <w:col w:w="10159"/>
          </w:cols>
          <w:pgMar w:left="300" w:top="380" w:right="1440"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5">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4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DESCRIPTION OF GUARANTEES</w:t>
      </w:r>
    </w:p>
    <w:p>
      <w:pPr>
        <w:spacing w:after="0" w:line="172" w:lineRule="exact"/>
        <w:rPr>
          <w:sz w:val="20"/>
          <w:szCs w:val="20"/>
          <w:color w:val="auto"/>
        </w:rPr>
      </w:pPr>
    </w:p>
    <w:p>
      <w:pPr>
        <w:ind w:left="1460" w:right="479" w:firstLine="335"/>
        <w:spacing w:after="0" w:line="248" w:lineRule="auto"/>
        <w:rPr>
          <w:sz w:val="20"/>
          <w:szCs w:val="20"/>
          <w:color w:val="auto"/>
        </w:rPr>
      </w:pPr>
      <w:r>
        <w:rPr>
          <w:rFonts w:ascii="Times New Roman" w:cs="Times New Roman" w:eastAsia="Times New Roman" w:hAnsi="Times New Roman"/>
          <w:sz w:val="14"/>
          <w:szCs w:val="14"/>
          <w:color w:val="auto"/>
        </w:rPr>
        <w:t>The debt securities of any series of the applicable issuer may have the benefit of guarantees (each, a “Guarantee”), by one or more of its subsidiaries (each, a “Guarantor”). In the case of Southwest Gas Corporation, the debt securities may or may not be guaranteed by Southwest Gas Holdings, Inc., its direct parent. The Guarantees, if any, will be the unsubordinated and, unless otherwise expressly stated in the applicable prospectus supplement, unsecured obligations of the respective Guarantors. The Guarantors of any series of guaranteed debt securities of each issuer may differ from the Guarantors of any other series of guaranteed debt securities of each issuer. In the event Southwest Gas Holdings, Inc. or Southwest Gas Corporation, as applicable, issues a series of guaranteed debt securities, the specific Guarantors of the debt securities of that series will be identified in the applicable prospectus supplement.</w:t>
      </w:r>
    </w:p>
    <w:p>
      <w:pPr>
        <w:spacing w:after="0" w:line="151" w:lineRule="exact"/>
        <w:rPr>
          <w:sz w:val="20"/>
          <w:szCs w:val="20"/>
          <w:color w:val="auto"/>
        </w:rPr>
      </w:pPr>
    </w:p>
    <w:p>
      <w:pPr>
        <w:ind w:left="1460" w:right="339" w:firstLine="335"/>
        <w:spacing w:after="0" w:line="249" w:lineRule="auto"/>
        <w:rPr>
          <w:sz w:val="20"/>
          <w:szCs w:val="20"/>
          <w:color w:val="auto"/>
        </w:rPr>
      </w:pPr>
      <w:r>
        <w:rPr>
          <w:rFonts w:ascii="Times New Roman" w:cs="Times New Roman" w:eastAsia="Times New Roman" w:hAnsi="Times New Roman"/>
          <w:sz w:val="14"/>
          <w:szCs w:val="14"/>
          <w:color w:val="auto"/>
        </w:rPr>
        <w:t>If Southwest Gas Holdings, Inc. or Southwest Gas Corporation, as applicable, issues a series of guaranteed debt securities, a description of some of the terms of Guarantees of those debt securities will be set forth in the applicable prospectus supplement. Unless otherwise provided in the prospectus supplement relating to a series of guaranteed debt securities, each Guarantor of the debt securities of such series will unconditionally guarantee the due and punctual payment of the principal of, and premium, if any, and interest, if any, on and any other amounts payable with respect to, each debt security of such series and the due and punctual performance of all of the applicable issuer’s other obligations under the applicable Indenture with respect to the debt securities of such series, all in accordance with the terms of such debt securities and the applicable Indenture.</w:t>
      </w:r>
    </w:p>
    <w:p>
      <w:pPr>
        <w:spacing w:after="0" w:line="149" w:lineRule="exact"/>
        <w:rPr>
          <w:sz w:val="20"/>
          <w:szCs w:val="20"/>
          <w:color w:val="auto"/>
        </w:rPr>
      </w:pPr>
    </w:p>
    <w:p>
      <w:pPr>
        <w:ind w:left="1460" w:right="379" w:firstLine="335"/>
        <w:spacing w:after="0" w:line="248" w:lineRule="auto"/>
        <w:rPr>
          <w:sz w:val="20"/>
          <w:szCs w:val="20"/>
          <w:color w:val="auto"/>
        </w:rPr>
      </w:pPr>
      <w:r>
        <w:rPr>
          <w:rFonts w:ascii="Times New Roman" w:cs="Times New Roman" w:eastAsia="Times New Roman" w:hAnsi="Times New Roman"/>
          <w:sz w:val="14"/>
          <w:szCs w:val="14"/>
          <w:color w:val="auto"/>
        </w:rPr>
        <w:t>Notwithstanding the foregoing, unless otherwise provided in the prospectus supplement relating to a series of guaranteed debt securities, the applicable Indenture will contain provisions to the effect that the obligations of each Guarantor under its Guarantees and such Indenture shall be limited to the maximum amount as will, after giving effect to all other contingent and fixed liabilities of such Guarantor, result in the obligations of such Guarantor under such Guarantees and such Indenture not constituting a fraudulent conveyance or fraudulent transfer under applicable law. However, there can be no assurance that, notwithstanding such limitation, a court would not determine that a Guarantee constituted a fraudulent conveyance or fraudulent transfer under applicable law. If that were to occur, the court could void the applicable Guarantor’s obligations under that Guarantee, subordinate that Guarantee to other debt and other liabilities of that Guarantor or take other action detrimental to holders of the debt securities of the applicable series, including directing the holders to return any payments received from the applicable Guarantor.</w:t>
      </w:r>
    </w:p>
    <w:p>
      <w:pPr>
        <w:spacing w:after="0" w:line="149" w:lineRule="exact"/>
        <w:rPr>
          <w:sz w:val="20"/>
          <w:szCs w:val="20"/>
          <w:color w:val="auto"/>
        </w:rPr>
      </w:pPr>
    </w:p>
    <w:p>
      <w:pPr>
        <w:ind w:left="1460" w:right="539" w:firstLine="335"/>
        <w:spacing w:after="0" w:line="256" w:lineRule="auto"/>
        <w:rPr>
          <w:sz w:val="20"/>
          <w:szCs w:val="20"/>
          <w:color w:val="auto"/>
        </w:rPr>
      </w:pPr>
      <w:r>
        <w:rPr>
          <w:rFonts w:ascii="Times New Roman" w:cs="Times New Roman" w:eastAsia="Times New Roman" w:hAnsi="Times New Roman"/>
          <w:sz w:val="14"/>
          <w:szCs w:val="14"/>
          <w:color w:val="auto"/>
        </w:rPr>
        <w:t>The applicable prospectus supplement relating to any series of guaranteed debt securities will specify other terms of the applicable Guarantees, which may include provisions that allow a Guarantor to be released from its obligations under its Guarantee under specified circumstances or that provide for one or more Guarantees to be secured by specified collateral.</w:t>
      </w:r>
    </w:p>
    <w:p>
      <w:pPr>
        <w:spacing w:after="0" w:line="143" w:lineRule="exact"/>
        <w:rPr>
          <w:sz w:val="20"/>
          <w:szCs w:val="20"/>
          <w:color w:val="auto"/>
        </w:rPr>
      </w:pPr>
    </w:p>
    <w:p>
      <w:pPr>
        <w:ind w:left="1460" w:right="339" w:firstLine="335"/>
        <w:spacing w:after="0" w:line="268" w:lineRule="auto"/>
        <w:rPr>
          <w:sz w:val="20"/>
          <w:szCs w:val="20"/>
          <w:color w:val="auto"/>
        </w:rPr>
      </w:pPr>
      <w:r>
        <w:rPr>
          <w:rFonts w:ascii="Times New Roman" w:cs="Times New Roman" w:eastAsia="Times New Roman" w:hAnsi="Times New Roman"/>
          <w:sz w:val="13"/>
          <w:szCs w:val="13"/>
          <w:color w:val="auto"/>
        </w:rPr>
        <w:t>Unless otherwise expressly stated in the applicable prospectus supplement, each Guarantee will be the unsubordinated and unsecured obligation of the applicable Guarantor and will rank on a parity in right of payment with all other unsecured and unsubordinated indebtedness and guarantees of such Guarantor. Each Guarantee (other than a secured Guarantee) will be effectively subordinated to all existing and future secured indebtedness and secured guarantees of the applicable Guarantor to the extent of the value of the collateral securing that indebtedness and those guarantees. Consequently, in the event of a bankruptcy, liquidation, dissolution, reorganization or similar proceeding with respect to any Guarantor that has provided an unsecured Guarantee of any debt securities, the holders of that Guarantor’s secured indebtedness and secured guarantees will be entitled to proceed directly against the collateral that secures that secured indebtedness or those secured guarantees, as the case may be, and such collateral will not be available for satisfaction of any amount owed by such Guarantor under its unsecured indebtedness and unsecured guarantees, including its unsecured Guarantees of any debt securities, until that secured debt and those secured guarantees are satisfied in full. Unless otherwise provided in the applicable prospectus supplement, the Indentures will not limit the ability of any Guarantor to incur secured indebtedness or issue secured guarantees.</w:t>
      </w:r>
    </w:p>
    <w:p>
      <w:pPr>
        <w:spacing w:after="0" w:line="8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18</w:t>
      </w:r>
    </w:p>
    <w:p>
      <w:pPr>
        <w:sectPr>
          <w:pgSz w:w="11900" w:h="16838" w:orient="portrait"/>
          <w:cols w:equalWidth="0" w:num="1">
            <w:col w:w="10159"/>
          </w:cols>
          <w:pgMar w:left="300" w:top="380" w:right="1440"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6">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44" w:lineRule="exact"/>
        <w:rPr>
          <w:sz w:val="20"/>
          <w:szCs w:val="20"/>
          <w:color w:val="auto"/>
        </w:rPr>
      </w:pPr>
    </w:p>
    <w:p>
      <w:pPr>
        <w:ind w:left="1460" w:right="539" w:firstLine="335"/>
        <w:spacing w:after="0" w:line="252" w:lineRule="auto"/>
        <w:rPr>
          <w:sz w:val="20"/>
          <w:szCs w:val="20"/>
          <w:color w:val="auto"/>
        </w:rPr>
      </w:pPr>
      <w:r>
        <w:rPr>
          <w:rFonts w:ascii="Times New Roman" w:cs="Times New Roman" w:eastAsia="Times New Roman" w:hAnsi="Times New Roman"/>
          <w:sz w:val="14"/>
          <w:szCs w:val="14"/>
          <w:color w:val="auto"/>
        </w:rPr>
        <w:t>Unless otherwise expressly stated in the applicable prospectus supplement, each secured Guarantee will be an unsubordinated obligation of the applicable Guarantor and will rank on a parity in right of payment with all other unsecured and unsubordinated indebtedness and guarantees of such Guarantor, except that such secured Guarantee will effectively rank senior to such Guarantor’s unsecured and unsubordinated indebtedness and guarantees in respect of claims against the collateral securing that secured Guarantee.</w:t>
      </w:r>
    </w:p>
    <w:p>
      <w:pPr>
        <w:spacing w:after="0" w:line="9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19</w:t>
      </w:r>
    </w:p>
    <w:p>
      <w:pPr>
        <w:sectPr>
          <w:pgSz w:w="11900" w:h="16838" w:orient="portrait"/>
          <w:cols w:equalWidth="0" w:num="1">
            <w:col w:w="10159"/>
          </w:cols>
          <w:pgMar w:left="300" w:top="380" w:right="1440"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7">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4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DESCRIPTION OF DEPOSITARY SHARES</w:t>
      </w:r>
    </w:p>
    <w:p>
      <w:pPr>
        <w:spacing w:after="0" w:line="172" w:lineRule="exact"/>
        <w:rPr>
          <w:sz w:val="20"/>
          <w:szCs w:val="20"/>
          <w:color w:val="auto"/>
        </w:rPr>
      </w:pPr>
    </w:p>
    <w:p>
      <w:pPr>
        <w:ind w:left="1460" w:right="359" w:firstLine="335"/>
        <w:spacing w:after="0" w:line="252" w:lineRule="auto"/>
        <w:rPr>
          <w:sz w:val="20"/>
          <w:szCs w:val="20"/>
          <w:color w:val="auto"/>
        </w:rPr>
      </w:pPr>
      <w:r>
        <w:rPr>
          <w:rFonts w:ascii="Times New Roman" w:cs="Times New Roman" w:eastAsia="Times New Roman" w:hAnsi="Times New Roman"/>
          <w:sz w:val="14"/>
          <w:szCs w:val="14"/>
          <w:color w:val="auto"/>
        </w:rPr>
        <w:t>The following description of depositary shares is only a summary and is qualified by any prospectus supplement and deposit agreement and depositary receipt used in connection with the issuance of each series of preferred stock issued through the use of depositary shares. Therefore, you should read carefully the more detailed description that would be contained in any prospectus supplement and form of deposit agreement and depositary receipt, copies of which are incorporated by reference as exhibits to the registration statement of which this prospectus is a part.</w:t>
      </w:r>
    </w:p>
    <w:p>
      <w:pPr>
        <w:spacing w:after="0" w:line="146" w:lineRule="exact"/>
        <w:rPr>
          <w:sz w:val="20"/>
          <w:szCs w:val="20"/>
          <w:color w:val="auto"/>
        </w:rPr>
      </w:pPr>
    </w:p>
    <w:p>
      <w:pPr>
        <w:ind w:left="1460" w:right="399" w:firstLine="335"/>
        <w:spacing w:after="0" w:line="252" w:lineRule="auto"/>
        <w:rPr>
          <w:sz w:val="20"/>
          <w:szCs w:val="20"/>
          <w:color w:val="auto"/>
        </w:rPr>
      </w:pPr>
      <w:r>
        <w:rPr>
          <w:rFonts w:ascii="Times New Roman" w:cs="Times New Roman" w:eastAsia="Times New Roman" w:hAnsi="Times New Roman"/>
          <w:sz w:val="14"/>
          <w:szCs w:val="14"/>
          <w:color w:val="auto"/>
        </w:rPr>
        <w:t>We may offer fractional shares of preferred stock by issuing receipts for depositary shares. The shares of any series of preferred stock represented by depositary shares will be deposited with a bank or trust company and the holders will be issued a depositary receipt entitling them, in proportion to the fraction of a share the receipt represents, to all the rights and preferences of the preferred stock, as more fully described above under the heading “Description of Capital Stock—Preferred Stock.”</w:t>
      </w:r>
    </w:p>
    <w:p>
      <w:pPr>
        <w:spacing w:after="0" w:line="146" w:lineRule="exact"/>
        <w:rPr>
          <w:sz w:val="20"/>
          <w:szCs w:val="20"/>
          <w:color w:val="auto"/>
        </w:rPr>
      </w:pPr>
    </w:p>
    <w:p>
      <w:pPr>
        <w:ind w:left="1460" w:right="339" w:firstLine="335"/>
        <w:spacing w:after="0" w:line="249" w:lineRule="auto"/>
        <w:rPr>
          <w:sz w:val="20"/>
          <w:szCs w:val="20"/>
          <w:color w:val="auto"/>
        </w:rPr>
      </w:pPr>
      <w:r>
        <w:rPr>
          <w:rFonts w:ascii="Times New Roman" w:cs="Times New Roman" w:eastAsia="Times New Roman" w:hAnsi="Times New Roman"/>
          <w:sz w:val="14"/>
          <w:szCs w:val="14"/>
          <w:color w:val="auto"/>
        </w:rPr>
        <w:t>The bank or trust company that will be the depositary will function as the intermediary between Southwest Gas Holdings, Inc. and the holders of the depositary receipts. Dividends and other distributions will be provided to the depositary for ultimate distribution to the holders. Redemption of the depositary shares and voting the underlying preferred stock will also be coordinated through the depositary. Holders will have the right to surrender their depositary receipts to the depositary and be entitled to receive whole shares of preferred stock that are represented by such receipts. Though the preferred stock will continue to have all of the rights and preferences, there may be no market opportunity to trade such stock and once withdrawn from the depositary, it may not be redeposited.</w:t>
      </w:r>
    </w:p>
    <w:p>
      <w:pPr>
        <w:spacing w:after="0" w:line="149" w:lineRule="exact"/>
        <w:rPr>
          <w:sz w:val="20"/>
          <w:szCs w:val="20"/>
          <w:color w:val="auto"/>
        </w:rPr>
      </w:pPr>
    </w:p>
    <w:p>
      <w:pPr>
        <w:ind w:left="1460" w:right="359" w:firstLine="335"/>
        <w:spacing w:after="0" w:line="250" w:lineRule="auto"/>
        <w:rPr>
          <w:sz w:val="20"/>
          <w:szCs w:val="20"/>
          <w:color w:val="auto"/>
        </w:rPr>
      </w:pPr>
      <w:r>
        <w:rPr>
          <w:rFonts w:ascii="Times New Roman" w:cs="Times New Roman" w:eastAsia="Times New Roman" w:hAnsi="Times New Roman"/>
          <w:sz w:val="14"/>
          <w:szCs w:val="14"/>
          <w:color w:val="auto"/>
        </w:rPr>
        <w:t>We will pay all transfer and other taxes and governmental charges arising solely from the existence of the depositary arrangement. Southwest Gas Holdings, Inc. will also pay charges of the depositary in connection with the initial deposit of the preferred stock and the initial issuance of the depositary receipts, any redemption of the preferred stock and any withdrawal of preferred stock by the holder of the depositary shares. Holders will pay other transfer and other taxes and governmental charges and such other charges specifically provided in the deposit agreement for their individual accounts.</w:t>
      </w:r>
    </w:p>
    <w:p>
      <w:pPr>
        <w:spacing w:after="0" w:line="9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20</w:t>
      </w:r>
    </w:p>
    <w:p>
      <w:pPr>
        <w:sectPr>
          <w:pgSz w:w="11900" w:h="16838" w:orient="portrait"/>
          <w:cols w:equalWidth="0" w:num="1">
            <w:col w:w="10159"/>
          </w:cols>
          <w:pgMar w:left="300" w:top="380" w:right="1440"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8">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40"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4"/>
          <w:szCs w:val="14"/>
          <w:b w:val="1"/>
          <w:bCs w:val="1"/>
          <w:color w:val="auto"/>
        </w:rPr>
        <w:t>DESCRIPTION OF WARRANTS</w:t>
      </w:r>
    </w:p>
    <w:p>
      <w:pPr>
        <w:spacing w:after="0" w:line="168"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90" w:lineRule="exact"/>
        <w:rPr>
          <w:sz w:val="20"/>
          <w:szCs w:val="20"/>
          <w:color w:val="auto"/>
        </w:rPr>
      </w:pPr>
    </w:p>
    <w:p>
      <w:pPr>
        <w:ind w:left="1460" w:right="399" w:firstLine="335"/>
        <w:spacing w:after="0" w:line="250" w:lineRule="auto"/>
        <w:rPr>
          <w:sz w:val="20"/>
          <w:szCs w:val="20"/>
          <w:color w:val="auto"/>
        </w:rPr>
      </w:pPr>
      <w:r>
        <w:rPr>
          <w:rFonts w:ascii="Times New Roman" w:cs="Times New Roman" w:eastAsia="Times New Roman" w:hAnsi="Times New Roman"/>
          <w:sz w:val="14"/>
          <w:szCs w:val="14"/>
          <w:color w:val="auto"/>
        </w:rPr>
        <w:t>We may issue warrants to purchase debt securities, common stock, preferred stock, depositary shares or any combination of these securities. We may issue the warrants independently or together with any underlying securities, and the warrants may be attached or separate from the underlying securities. We may also issue a series of warrants under a separate warrant agreement to be entered into between us and a warrant agent. The warrant agent will act solely as our agent in connection with the warrants of such series and will not assume any obligation or relationship of agency for or with holders or beneficial owners of warrants.</w:t>
      </w:r>
    </w:p>
    <w:p>
      <w:pPr>
        <w:spacing w:after="0" w:line="148" w:lineRule="exact"/>
        <w:rPr>
          <w:sz w:val="20"/>
          <w:szCs w:val="20"/>
          <w:color w:val="auto"/>
        </w:rPr>
      </w:pPr>
    </w:p>
    <w:p>
      <w:pPr>
        <w:ind w:left="1460" w:right="399" w:firstLine="335"/>
        <w:spacing w:after="0" w:line="252" w:lineRule="auto"/>
        <w:rPr>
          <w:sz w:val="20"/>
          <w:szCs w:val="20"/>
          <w:color w:val="auto"/>
        </w:rPr>
      </w:pPr>
      <w:r>
        <w:rPr>
          <w:rFonts w:ascii="Times New Roman" w:cs="Times New Roman" w:eastAsia="Times New Roman" w:hAnsi="Times New Roman"/>
          <w:sz w:val="14"/>
          <w:szCs w:val="14"/>
          <w:color w:val="auto"/>
        </w:rPr>
        <w:t>The following description is a summary of selected provisions relating to the warrants that we may issue. The summary is not complete. When warrants are offered in the future, a prospectus supplement, or other offering material as applicable, will explain the particular terms of those securities and the extent to which these general provisions may apply. The specific terms of the warrants as described in a prospectus supplement will supplement and, if applicable, may modify or replace the general terms described in this section.</w:t>
      </w:r>
    </w:p>
    <w:p>
      <w:pPr>
        <w:spacing w:after="0" w:line="146" w:lineRule="exact"/>
        <w:rPr>
          <w:sz w:val="20"/>
          <w:szCs w:val="20"/>
          <w:color w:val="auto"/>
        </w:rPr>
      </w:pPr>
    </w:p>
    <w:p>
      <w:pPr>
        <w:ind w:left="1460" w:right="379" w:firstLine="335"/>
        <w:spacing w:after="0" w:line="252" w:lineRule="auto"/>
        <w:rPr>
          <w:sz w:val="20"/>
          <w:szCs w:val="20"/>
          <w:color w:val="auto"/>
        </w:rPr>
      </w:pPr>
      <w:r>
        <w:rPr>
          <w:rFonts w:ascii="Times New Roman" w:cs="Times New Roman" w:eastAsia="Times New Roman" w:hAnsi="Times New Roman"/>
          <w:sz w:val="14"/>
          <w:szCs w:val="14"/>
          <w:color w:val="auto"/>
        </w:rPr>
        <w:t>This summary and any description of warrants in the applicable prospectus supplement or other offering material is subject to and is qualified in its entirety by reference to all the provisions of any specific warrant document or agreement, which we will file with the SEC for incorporation by reference into this prospectus. See “Where You Can Find More Information” and “Incorporation by Reference” for information on how to obtain a copy of a warrant document when it is filed.</w:t>
      </w:r>
    </w:p>
    <w:p>
      <w:pPr>
        <w:spacing w:after="0" w:line="146"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4"/>
          <w:szCs w:val="14"/>
          <w:color w:val="auto"/>
        </w:rPr>
        <w:t>When we refer to a series of warrants, we mean all warrants issued as part of the same series under the applicable warrant agreement.</w:t>
      </w:r>
    </w:p>
    <w:p>
      <w:pPr>
        <w:spacing w:after="0" w:line="246"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color w:val="auto"/>
        </w:rPr>
        <w:t>Terms</w:t>
      </w:r>
    </w:p>
    <w:p>
      <w:pPr>
        <w:spacing w:after="0" w:line="90" w:lineRule="exact"/>
        <w:rPr>
          <w:sz w:val="20"/>
          <w:szCs w:val="20"/>
          <w:color w:val="auto"/>
        </w:rPr>
      </w:pPr>
    </w:p>
    <w:p>
      <w:pPr>
        <w:ind w:left="1460" w:right="359" w:firstLine="335"/>
        <w:spacing w:after="0" w:line="267" w:lineRule="auto"/>
        <w:rPr>
          <w:sz w:val="20"/>
          <w:szCs w:val="20"/>
          <w:color w:val="auto"/>
        </w:rPr>
      </w:pPr>
      <w:r>
        <w:rPr>
          <w:rFonts w:ascii="Times New Roman" w:cs="Times New Roman" w:eastAsia="Times New Roman" w:hAnsi="Times New Roman"/>
          <w:sz w:val="14"/>
          <w:szCs w:val="14"/>
          <w:color w:val="auto"/>
        </w:rPr>
        <w:t>The prospectus supplement relating to any warrants that we may offer will contain the specific terms of the warrants. These terms may include the following:</w:t>
      </w:r>
    </w:p>
    <w:p>
      <w:pPr>
        <w:spacing w:after="0" w:line="63" w:lineRule="exact"/>
        <w:rPr>
          <w:sz w:val="20"/>
          <w:szCs w:val="20"/>
          <w:color w:val="auto"/>
        </w:rPr>
      </w:pPr>
    </w:p>
    <w:p>
      <w:pPr>
        <w:ind w:left="2200" w:hanging="338"/>
        <w:spacing w:after="0"/>
        <w:tabs>
          <w:tab w:leader="none" w:pos="220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title of the warrants;</w:t>
      </w:r>
    </w:p>
    <w:p>
      <w:pPr>
        <w:spacing w:after="0" w:line="95" w:lineRule="exact"/>
        <w:rPr>
          <w:rFonts w:ascii="Times New Roman" w:cs="Times New Roman" w:eastAsia="Times New Roman" w:hAnsi="Times New Roman"/>
          <w:sz w:val="14"/>
          <w:szCs w:val="14"/>
          <w:color w:val="auto"/>
        </w:rPr>
      </w:pPr>
    </w:p>
    <w:p>
      <w:pPr>
        <w:ind w:left="2200" w:hanging="338"/>
        <w:spacing w:after="0"/>
        <w:tabs>
          <w:tab w:leader="none" w:pos="220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total number of warrants;</w:t>
      </w:r>
    </w:p>
    <w:p>
      <w:pPr>
        <w:spacing w:after="0" w:line="95" w:lineRule="exact"/>
        <w:rPr>
          <w:rFonts w:ascii="Times New Roman" w:cs="Times New Roman" w:eastAsia="Times New Roman" w:hAnsi="Times New Roman"/>
          <w:sz w:val="14"/>
          <w:szCs w:val="14"/>
          <w:color w:val="auto"/>
        </w:rPr>
      </w:pPr>
    </w:p>
    <w:p>
      <w:pPr>
        <w:ind w:left="2200" w:hanging="338"/>
        <w:spacing w:after="0"/>
        <w:tabs>
          <w:tab w:leader="none" w:pos="220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price or prices at which the warrants will be issued;</w:t>
      </w:r>
    </w:p>
    <w:p>
      <w:pPr>
        <w:spacing w:after="0" w:line="95" w:lineRule="exact"/>
        <w:rPr>
          <w:rFonts w:ascii="Times New Roman" w:cs="Times New Roman" w:eastAsia="Times New Roman" w:hAnsi="Times New Roman"/>
          <w:sz w:val="14"/>
          <w:szCs w:val="14"/>
          <w:color w:val="auto"/>
        </w:rPr>
      </w:pPr>
    </w:p>
    <w:p>
      <w:pPr>
        <w:ind w:left="2200" w:hanging="338"/>
        <w:spacing w:after="0"/>
        <w:tabs>
          <w:tab w:leader="none" w:pos="220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currency or currencies that investors may use to pay for the warrants;</w:t>
      </w:r>
    </w:p>
    <w:p>
      <w:pPr>
        <w:spacing w:after="0" w:line="95" w:lineRule="exact"/>
        <w:rPr>
          <w:rFonts w:ascii="Times New Roman" w:cs="Times New Roman" w:eastAsia="Times New Roman" w:hAnsi="Times New Roman"/>
          <w:sz w:val="14"/>
          <w:szCs w:val="14"/>
          <w:color w:val="auto"/>
        </w:rPr>
      </w:pPr>
    </w:p>
    <w:p>
      <w:pPr>
        <w:ind w:left="2200" w:hanging="338"/>
        <w:spacing w:after="0"/>
        <w:tabs>
          <w:tab w:leader="none" w:pos="220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on which the right to exercise the warrants will commence and the date on which the right will expire;</w:t>
      </w:r>
    </w:p>
    <w:p>
      <w:pPr>
        <w:spacing w:after="0" w:line="95" w:lineRule="exact"/>
        <w:rPr>
          <w:rFonts w:ascii="Times New Roman" w:cs="Times New Roman" w:eastAsia="Times New Roman" w:hAnsi="Times New Roman"/>
          <w:sz w:val="14"/>
          <w:szCs w:val="14"/>
          <w:color w:val="auto"/>
        </w:rPr>
      </w:pPr>
    </w:p>
    <w:p>
      <w:pPr>
        <w:ind w:left="2200" w:hanging="338"/>
        <w:spacing w:after="0"/>
        <w:tabs>
          <w:tab w:leader="none" w:pos="220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warrants will be issued in registered form or bearer form;</w:t>
      </w:r>
    </w:p>
    <w:p>
      <w:pPr>
        <w:spacing w:after="0" w:line="95" w:lineRule="exact"/>
        <w:rPr>
          <w:rFonts w:ascii="Times New Roman" w:cs="Times New Roman" w:eastAsia="Times New Roman" w:hAnsi="Times New Roman"/>
          <w:sz w:val="14"/>
          <w:szCs w:val="14"/>
          <w:color w:val="auto"/>
        </w:rPr>
      </w:pPr>
    </w:p>
    <w:p>
      <w:pPr>
        <w:ind w:left="2200" w:hanging="338"/>
        <w:spacing w:after="0"/>
        <w:tabs>
          <w:tab w:leader="none" w:pos="220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information with respect to book-entry procedures, if any;</w:t>
      </w:r>
    </w:p>
    <w:p>
      <w:pPr>
        <w:spacing w:after="0" w:line="95" w:lineRule="exact"/>
        <w:rPr>
          <w:rFonts w:ascii="Times New Roman" w:cs="Times New Roman" w:eastAsia="Times New Roman" w:hAnsi="Times New Roman"/>
          <w:sz w:val="14"/>
          <w:szCs w:val="14"/>
          <w:color w:val="auto"/>
        </w:rPr>
      </w:pPr>
    </w:p>
    <w:p>
      <w:pPr>
        <w:ind w:left="2200" w:hanging="338"/>
        <w:spacing w:after="0"/>
        <w:tabs>
          <w:tab w:leader="none" w:pos="220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applicable, the minimum or maximum amount of warrants that may be exercised at any one time;</w:t>
      </w:r>
    </w:p>
    <w:p>
      <w:pPr>
        <w:spacing w:after="0" w:line="95" w:lineRule="exact"/>
        <w:rPr>
          <w:rFonts w:ascii="Times New Roman" w:cs="Times New Roman" w:eastAsia="Times New Roman" w:hAnsi="Times New Roman"/>
          <w:sz w:val="14"/>
          <w:szCs w:val="14"/>
          <w:color w:val="auto"/>
        </w:rPr>
      </w:pPr>
    </w:p>
    <w:p>
      <w:pPr>
        <w:ind w:left="2200" w:right="439" w:hanging="338"/>
        <w:spacing w:after="0" w:line="267" w:lineRule="auto"/>
        <w:tabs>
          <w:tab w:leader="none" w:pos="220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applicable, the designation and terms of the underlying securities with which the warrants are issued and the number of warrants issued with each underlying security;</w:t>
      </w:r>
    </w:p>
    <w:p>
      <w:pPr>
        <w:spacing w:after="0" w:line="63" w:lineRule="exact"/>
        <w:rPr>
          <w:rFonts w:ascii="Times New Roman" w:cs="Times New Roman" w:eastAsia="Times New Roman" w:hAnsi="Times New Roman"/>
          <w:sz w:val="14"/>
          <w:szCs w:val="14"/>
          <w:color w:val="auto"/>
        </w:rPr>
      </w:pPr>
    </w:p>
    <w:p>
      <w:pPr>
        <w:ind w:left="2200" w:hanging="338"/>
        <w:spacing w:after="0"/>
        <w:tabs>
          <w:tab w:leader="none" w:pos="220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applicable, the date on and after which the warrants and the related underlying securities will be separately transferable;</w:t>
      </w:r>
    </w:p>
    <w:p>
      <w:pPr>
        <w:spacing w:after="0" w:line="95" w:lineRule="exact"/>
        <w:rPr>
          <w:rFonts w:ascii="Times New Roman" w:cs="Times New Roman" w:eastAsia="Times New Roman" w:hAnsi="Times New Roman"/>
          <w:sz w:val="14"/>
          <w:szCs w:val="14"/>
          <w:color w:val="auto"/>
        </w:rPr>
      </w:pPr>
    </w:p>
    <w:p>
      <w:pPr>
        <w:ind w:left="2200" w:hanging="338"/>
        <w:spacing w:after="0"/>
        <w:tabs>
          <w:tab w:leader="none" w:pos="220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applicable, a discussion of material United States federal income tax considerations;</w:t>
      </w:r>
    </w:p>
    <w:p>
      <w:pPr>
        <w:spacing w:after="0" w:line="95" w:lineRule="exact"/>
        <w:rPr>
          <w:rFonts w:ascii="Times New Roman" w:cs="Times New Roman" w:eastAsia="Times New Roman" w:hAnsi="Times New Roman"/>
          <w:sz w:val="14"/>
          <w:szCs w:val="14"/>
          <w:color w:val="auto"/>
        </w:rPr>
      </w:pPr>
    </w:p>
    <w:p>
      <w:pPr>
        <w:ind w:left="2200" w:hanging="338"/>
        <w:spacing w:after="0"/>
        <w:tabs>
          <w:tab w:leader="none" w:pos="220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applicable, the terms of redemption of the warrants;</w:t>
      </w:r>
    </w:p>
    <w:p>
      <w:pPr>
        <w:spacing w:after="0" w:line="95" w:lineRule="exact"/>
        <w:rPr>
          <w:rFonts w:ascii="Times New Roman" w:cs="Times New Roman" w:eastAsia="Times New Roman" w:hAnsi="Times New Roman"/>
          <w:sz w:val="14"/>
          <w:szCs w:val="14"/>
          <w:color w:val="auto"/>
        </w:rPr>
      </w:pPr>
    </w:p>
    <w:p>
      <w:pPr>
        <w:ind w:left="2200" w:hanging="338"/>
        <w:spacing w:after="0"/>
        <w:tabs>
          <w:tab w:leader="none" w:pos="220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identity of the warrant agent, if any;</w:t>
      </w:r>
    </w:p>
    <w:p>
      <w:pPr>
        <w:spacing w:after="0" w:line="11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21</w:t>
      </w:r>
    </w:p>
    <w:p>
      <w:pPr>
        <w:sectPr>
          <w:pgSz w:w="11900" w:h="16838" w:orient="portrait"/>
          <w:cols w:equalWidth="0" w:num="1">
            <w:col w:w="10159"/>
          </w:cols>
          <w:pgMar w:left="300" w:top="380" w:right="1440"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9">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44" w:lineRule="exact"/>
        <w:rPr>
          <w:sz w:val="20"/>
          <w:szCs w:val="20"/>
          <w:color w:val="auto"/>
        </w:rPr>
      </w:pPr>
    </w:p>
    <w:p>
      <w:pPr>
        <w:ind w:left="2200" w:hanging="338"/>
        <w:spacing w:after="0"/>
        <w:tabs>
          <w:tab w:leader="none" w:pos="220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procedures and conditions relating to the exercise of the warrants; and</w:t>
      </w:r>
    </w:p>
    <w:p>
      <w:pPr>
        <w:spacing w:after="0" w:line="95" w:lineRule="exact"/>
        <w:rPr>
          <w:rFonts w:ascii="Times New Roman" w:cs="Times New Roman" w:eastAsia="Times New Roman" w:hAnsi="Times New Roman"/>
          <w:sz w:val="14"/>
          <w:szCs w:val="14"/>
          <w:color w:val="auto"/>
        </w:rPr>
      </w:pPr>
    </w:p>
    <w:p>
      <w:pPr>
        <w:ind w:left="2200" w:hanging="338"/>
        <w:spacing w:after="0"/>
        <w:tabs>
          <w:tab w:leader="none" w:pos="220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terms of the warrants, including terms, procedures, and limitations relating to the exchange and exercise of the warrants.</w:t>
      </w:r>
    </w:p>
    <w:p>
      <w:pPr>
        <w:spacing w:after="0" w:line="246"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color w:val="auto"/>
        </w:rPr>
        <w:t>Warrant Agreements</w:t>
      </w:r>
    </w:p>
    <w:p>
      <w:pPr>
        <w:spacing w:after="0" w:line="90" w:lineRule="exact"/>
        <w:rPr>
          <w:sz w:val="20"/>
          <w:szCs w:val="20"/>
          <w:color w:val="auto"/>
        </w:rPr>
      </w:pPr>
    </w:p>
    <w:p>
      <w:pPr>
        <w:ind w:left="1460" w:right="379" w:firstLine="335"/>
        <w:spacing w:after="0" w:line="256" w:lineRule="auto"/>
        <w:rPr>
          <w:sz w:val="20"/>
          <w:szCs w:val="20"/>
          <w:color w:val="auto"/>
        </w:rPr>
      </w:pPr>
      <w:r>
        <w:rPr>
          <w:rFonts w:ascii="Times New Roman" w:cs="Times New Roman" w:eastAsia="Times New Roman" w:hAnsi="Times New Roman"/>
          <w:sz w:val="14"/>
          <w:szCs w:val="14"/>
          <w:color w:val="auto"/>
        </w:rPr>
        <w:t>We may issue the warrants in one or more series under one or more warrant agreements, each to be entered into between us and a bank, trust company, or other financial institution as warrant agent. We may add, replace, or terminate warrant agents from time to time. We may also choose to act as our own warrant agent or may choose one of our subsidiaries to do so.</w:t>
      </w:r>
    </w:p>
    <w:p>
      <w:pPr>
        <w:spacing w:after="0" w:line="143" w:lineRule="exact"/>
        <w:rPr>
          <w:sz w:val="20"/>
          <w:szCs w:val="20"/>
          <w:color w:val="auto"/>
        </w:rPr>
      </w:pPr>
    </w:p>
    <w:p>
      <w:pPr>
        <w:ind w:left="1460" w:right="319" w:firstLine="335"/>
        <w:spacing w:after="0" w:line="250" w:lineRule="auto"/>
        <w:rPr>
          <w:sz w:val="20"/>
          <w:szCs w:val="20"/>
          <w:color w:val="auto"/>
        </w:rPr>
      </w:pPr>
      <w:r>
        <w:rPr>
          <w:rFonts w:ascii="Times New Roman" w:cs="Times New Roman" w:eastAsia="Times New Roman" w:hAnsi="Times New Roman"/>
          <w:sz w:val="14"/>
          <w:szCs w:val="14"/>
          <w:color w:val="auto"/>
        </w:rPr>
        <w:t>The warrant agent under a warrant agreement will act solely as our agent in connection with the warrants issued under that agreement. The warrant agent will not assume any obligation or relationship of agency or trust for or with any holders of those warrants. Any holder of warrants may, without the consent of any other person, enforce by appropriate legal action, on its own behalf, its right to exercise those warrants in accordance with their terms. Until the warrant is properly exercised, no holder of any warrant will be entitled to any rights of a holder of the warrant property purchasable upon exercise of the warrant.</w:t>
      </w:r>
    </w:p>
    <w:p>
      <w:pPr>
        <w:spacing w:after="0" w:line="226"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color w:val="auto"/>
        </w:rPr>
        <w:t>Form, Exchange, and Transfer</w:t>
      </w:r>
    </w:p>
    <w:p>
      <w:pPr>
        <w:spacing w:after="0" w:line="90" w:lineRule="exact"/>
        <w:rPr>
          <w:sz w:val="20"/>
          <w:szCs w:val="20"/>
          <w:color w:val="auto"/>
        </w:rPr>
      </w:pPr>
    </w:p>
    <w:p>
      <w:pPr>
        <w:ind w:left="1460" w:right="339" w:firstLine="335"/>
        <w:spacing w:after="0" w:line="248" w:lineRule="auto"/>
        <w:rPr>
          <w:sz w:val="20"/>
          <w:szCs w:val="20"/>
          <w:color w:val="auto"/>
        </w:rPr>
      </w:pPr>
      <w:r>
        <w:rPr>
          <w:rFonts w:ascii="Times New Roman" w:cs="Times New Roman" w:eastAsia="Times New Roman" w:hAnsi="Times New Roman"/>
          <w:sz w:val="14"/>
          <w:szCs w:val="14"/>
          <w:color w:val="auto"/>
        </w:rPr>
        <w:t>We may issue the warrants in registered form or bearer form. Warrants issued in registered form, i.e., book-entry form, will be represented by a global security registered in the name of a depository, which will be the holder of all the warrants represented by the global security. Those investors who own beneficial interests in a global warrant will do so through participants in the depository’s system, and the rights of these indirect owners will be governed solely by the applicable procedures of the depository and its participants. In addition, we may issue warrants in non-global form, i.e., bearer form. If any warrants are issued in non-global form, warrant certificates may be exchanged for new warrant certificates of different denominations, and holders may exchange, transfer, or exercise their warrants at the warrant agent’s office or any other office indicated in the applicable prospectus supplement or other offering material.</w:t>
      </w:r>
    </w:p>
    <w:p>
      <w:pPr>
        <w:spacing w:after="0" w:line="151" w:lineRule="exact"/>
        <w:rPr>
          <w:sz w:val="20"/>
          <w:szCs w:val="20"/>
          <w:color w:val="auto"/>
        </w:rPr>
      </w:pPr>
    </w:p>
    <w:p>
      <w:pPr>
        <w:ind w:left="1460" w:right="319" w:firstLine="335"/>
        <w:spacing w:after="0" w:line="250" w:lineRule="auto"/>
        <w:rPr>
          <w:sz w:val="20"/>
          <w:szCs w:val="20"/>
          <w:color w:val="auto"/>
        </w:rPr>
      </w:pPr>
      <w:r>
        <w:rPr>
          <w:rFonts w:ascii="Times New Roman" w:cs="Times New Roman" w:eastAsia="Times New Roman" w:hAnsi="Times New Roman"/>
          <w:sz w:val="14"/>
          <w:szCs w:val="14"/>
          <w:color w:val="auto"/>
        </w:rPr>
        <w:t>Prior to the exercise of their warrants, holders of warrants exercisable for debt securities will not have any of the rights of holders of the debt securities purchasable upon such exercise and will not be entitled to payments of principal (or premium, if any) or interest, if any, on the debt securities purchasable upon such exercise. Prior to the exercise of their warrants, holders of warrants exercisable for shares of preferred stock or common stock will not have any rights of holders of the preferred stock or common stock purchasable upon such exercise and will not be entitled to dividend payments, if any, or voting rights of the preferred stock or common stock purchasable upon such exercise.</w:t>
      </w:r>
    </w:p>
    <w:p>
      <w:pPr>
        <w:spacing w:after="0" w:line="226"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color w:val="auto"/>
        </w:rPr>
        <w:t>Exercise of Warrants</w:t>
      </w:r>
    </w:p>
    <w:p>
      <w:pPr>
        <w:spacing w:after="0" w:line="90" w:lineRule="exact"/>
        <w:rPr>
          <w:sz w:val="20"/>
          <w:szCs w:val="20"/>
          <w:color w:val="auto"/>
        </w:rPr>
      </w:pPr>
    </w:p>
    <w:p>
      <w:pPr>
        <w:ind w:left="1460" w:right="359" w:firstLine="335"/>
        <w:spacing w:after="0" w:line="252" w:lineRule="auto"/>
        <w:rPr>
          <w:sz w:val="20"/>
          <w:szCs w:val="20"/>
          <w:color w:val="auto"/>
        </w:rPr>
      </w:pPr>
      <w:r>
        <w:rPr>
          <w:rFonts w:ascii="Times New Roman" w:cs="Times New Roman" w:eastAsia="Times New Roman" w:hAnsi="Times New Roman"/>
          <w:sz w:val="14"/>
          <w:szCs w:val="14"/>
          <w:color w:val="auto"/>
        </w:rPr>
        <w:t>A warrant will entitle the holder to purchase for cash an amount of securities at an exercise price that will be stated in, or that will be determinable as described in, the applicable prospectus supplement or other offering material. Warrants may be exercised at any time up to the close of business on the expiration date set forth in the applicable prospectus supplement or other offering material. After the close of business on the expiration date, unexercised warrants will become void.</w:t>
      </w:r>
    </w:p>
    <w:p>
      <w:pPr>
        <w:spacing w:after="0" w:line="146" w:lineRule="exact"/>
        <w:rPr>
          <w:sz w:val="20"/>
          <w:szCs w:val="20"/>
          <w:color w:val="auto"/>
        </w:rPr>
      </w:pPr>
    </w:p>
    <w:p>
      <w:pPr>
        <w:ind w:left="1460" w:right="379" w:firstLine="335"/>
        <w:spacing w:after="0" w:line="252" w:lineRule="auto"/>
        <w:rPr>
          <w:sz w:val="20"/>
          <w:szCs w:val="20"/>
          <w:color w:val="auto"/>
        </w:rPr>
      </w:pPr>
      <w:r>
        <w:rPr>
          <w:rFonts w:ascii="Times New Roman" w:cs="Times New Roman" w:eastAsia="Times New Roman" w:hAnsi="Times New Roman"/>
          <w:sz w:val="14"/>
          <w:szCs w:val="14"/>
          <w:color w:val="auto"/>
        </w:rPr>
        <w:t>Warrants may be exercised as set forth in the applicable prospectus supplement or other offering material. Upon receipt of payment and the warrant certificate properly completed and duly executed at the corporate trust office of the warrant agent or any other office indicated in the prospectus supplement or other offering material, we will forward, as soon as practicable, the securities purchasable upon such exercise. If less than all of the warrants represented by such warrant certificate are exercised, a new warrant certificate will be issued for the remaining warrants.</w:t>
      </w:r>
    </w:p>
    <w:p>
      <w:pPr>
        <w:spacing w:after="0" w:line="9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22</w:t>
      </w:r>
    </w:p>
    <w:p>
      <w:pPr>
        <w:sectPr>
          <w:pgSz w:w="11900" w:h="16838" w:orient="portrait"/>
          <w:cols w:equalWidth="0" w:num="1">
            <w:col w:w="10159"/>
          </w:cols>
          <w:pgMar w:left="300" w:top="380" w:right="1440"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0">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40"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4"/>
          <w:szCs w:val="14"/>
          <w:b w:val="1"/>
          <w:bCs w:val="1"/>
          <w:color w:val="auto"/>
        </w:rPr>
        <w:t>DESCRIPTION OF UNITS</w:t>
      </w:r>
    </w:p>
    <w:p>
      <w:pPr>
        <w:spacing w:after="0" w:line="168"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90" w:lineRule="exact"/>
        <w:rPr>
          <w:sz w:val="20"/>
          <w:szCs w:val="20"/>
          <w:color w:val="auto"/>
        </w:rPr>
      </w:pPr>
    </w:p>
    <w:p>
      <w:pPr>
        <w:jc w:val="both"/>
        <w:ind w:left="1460" w:right="379" w:firstLine="335"/>
        <w:spacing w:after="0" w:line="252" w:lineRule="auto"/>
        <w:rPr>
          <w:sz w:val="20"/>
          <w:szCs w:val="20"/>
          <w:color w:val="auto"/>
        </w:rPr>
      </w:pPr>
      <w:r>
        <w:rPr>
          <w:rFonts w:ascii="Times New Roman" w:cs="Times New Roman" w:eastAsia="Times New Roman" w:hAnsi="Times New Roman"/>
          <w:sz w:val="14"/>
          <w:szCs w:val="14"/>
          <w:color w:val="auto"/>
        </w:rPr>
        <w:t>We may issue units composed of any combination of our debt securities, common stock, preferred stock, and warrants. We will issue each unit so that the holder of the unit is also the holder of each security included in the unit. As a result,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w:t>
      </w:r>
    </w:p>
    <w:p>
      <w:pPr>
        <w:spacing w:after="0" w:line="146" w:lineRule="exact"/>
        <w:rPr>
          <w:sz w:val="20"/>
          <w:szCs w:val="20"/>
          <w:color w:val="auto"/>
        </w:rPr>
      </w:pPr>
    </w:p>
    <w:p>
      <w:pPr>
        <w:ind w:left="1460" w:right="359" w:firstLine="335"/>
        <w:spacing w:after="0" w:line="252" w:lineRule="auto"/>
        <w:rPr>
          <w:sz w:val="20"/>
          <w:szCs w:val="20"/>
          <w:color w:val="auto"/>
        </w:rPr>
      </w:pPr>
      <w:r>
        <w:rPr>
          <w:rFonts w:ascii="Times New Roman" w:cs="Times New Roman" w:eastAsia="Times New Roman" w:hAnsi="Times New Roman"/>
          <w:sz w:val="14"/>
          <w:szCs w:val="14"/>
          <w:color w:val="auto"/>
        </w:rPr>
        <w:t>The following description is a summary of selected provisions relating to units that we may offer. The summary is not complete. When units are offered in the future, a prospectus supplement, or other offering material as applicable, will explain the particular terms of those securities and the extent to which these general provisions may apply. The specific terms of the units as described in a prospectus supplement will supplement and, if applicable, may modify or replace the general terms described in this section.</w:t>
      </w:r>
    </w:p>
    <w:p>
      <w:pPr>
        <w:spacing w:after="0" w:line="146" w:lineRule="exact"/>
        <w:rPr>
          <w:sz w:val="20"/>
          <w:szCs w:val="20"/>
          <w:color w:val="auto"/>
        </w:rPr>
      </w:pPr>
    </w:p>
    <w:p>
      <w:pPr>
        <w:ind w:left="1460" w:right="399" w:firstLine="335"/>
        <w:spacing w:after="0" w:line="252" w:lineRule="auto"/>
        <w:rPr>
          <w:sz w:val="20"/>
          <w:szCs w:val="20"/>
          <w:color w:val="auto"/>
        </w:rPr>
      </w:pPr>
      <w:r>
        <w:rPr>
          <w:rFonts w:ascii="Times New Roman" w:cs="Times New Roman" w:eastAsia="Times New Roman" w:hAnsi="Times New Roman"/>
          <w:sz w:val="14"/>
          <w:szCs w:val="14"/>
          <w:color w:val="auto"/>
        </w:rPr>
        <w:t>This summary and any description of units in the applicable prospectus supplement or other offering material is subject to and is qualified in its entirety by reference to the unit agreement and, if applicable, collateral arrangements and depositary arrangements relating to such units. We will file these documents with the SEC for incorporation by reference into this prospectus. See “Where You Can Find More Information” and “Incorporation by Reference” for information on how to obtain a copy of a document when it is filed.</w:t>
      </w:r>
    </w:p>
    <w:p>
      <w:pPr>
        <w:spacing w:after="0" w:line="146"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4"/>
          <w:szCs w:val="14"/>
          <w:color w:val="auto"/>
        </w:rPr>
        <w:t>The applicable prospectus supplement or other offering material may describe:</w:t>
      </w:r>
    </w:p>
    <w:p>
      <w:pPr>
        <w:spacing w:after="0" w:line="96" w:lineRule="exact"/>
        <w:rPr>
          <w:sz w:val="20"/>
          <w:szCs w:val="20"/>
          <w:color w:val="auto"/>
        </w:rPr>
      </w:pPr>
    </w:p>
    <w:p>
      <w:pPr>
        <w:ind w:left="2200" w:right="559" w:hanging="338"/>
        <w:spacing w:after="0" w:line="267" w:lineRule="auto"/>
        <w:tabs>
          <w:tab w:leader="none" w:pos="220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designation and terms of the units and of the securities comprising the units, including whether and under what circumstances those securities may be held or transferred separately;</w:t>
      </w:r>
    </w:p>
    <w:p>
      <w:pPr>
        <w:spacing w:after="0" w:line="63" w:lineRule="exact"/>
        <w:rPr>
          <w:rFonts w:ascii="Times New Roman" w:cs="Times New Roman" w:eastAsia="Times New Roman" w:hAnsi="Times New Roman"/>
          <w:sz w:val="14"/>
          <w:szCs w:val="14"/>
          <w:color w:val="auto"/>
        </w:rPr>
      </w:pPr>
    </w:p>
    <w:p>
      <w:pPr>
        <w:ind w:left="2200" w:hanging="338"/>
        <w:spacing w:after="0"/>
        <w:tabs>
          <w:tab w:leader="none" w:pos="220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provisions for the issuance, payment, settlement, transfer, or exchange of the units or of the securities composing the units;</w:t>
      </w:r>
    </w:p>
    <w:p>
      <w:pPr>
        <w:spacing w:after="0" w:line="95" w:lineRule="exact"/>
        <w:rPr>
          <w:rFonts w:ascii="Times New Roman" w:cs="Times New Roman" w:eastAsia="Times New Roman" w:hAnsi="Times New Roman"/>
          <w:sz w:val="14"/>
          <w:szCs w:val="14"/>
          <w:color w:val="auto"/>
        </w:rPr>
      </w:pPr>
    </w:p>
    <w:p>
      <w:pPr>
        <w:ind w:left="2200" w:hanging="338"/>
        <w:spacing w:after="0"/>
        <w:tabs>
          <w:tab w:leader="none" w:pos="220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units will be issued in fully registered or global form; and</w:t>
      </w:r>
    </w:p>
    <w:p>
      <w:pPr>
        <w:spacing w:after="0" w:line="95" w:lineRule="exact"/>
        <w:rPr>
          <w:rFonts w:ascii="Times New Roman" w:cs="Times New Roman" w:eastAsia="Times New Roman" w:hAnsi="Times New Roman"/>
          <w:sz w:val="14"/>
          <w:szCs w:val="14"/>
          <w:color w:val="auto"/>
        </w:rPr>
      </w:pPr>
    </w:p>
    <w:p>
      <w:pPr>
        <w:ind w:left="2200" w:hanging="338"/>
        <w:spacing w:after="0"/>
        <w:tabs>
          <w:tab w:leader="none" w:pos="220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terms of the units.</w:t>
      </w:r>
    </w:p>
    <w:p>
      <w:pPr>
        <w:spacing w:after="0" w:line="168" w:lineRule="exact"/>
        <w:rPr>
          <w:sz w:val="20"/>
          <w:szCs w:val="20"/>
          <w:color w:val="auto"/>
        </w:rPr>
      </w:pPr>
    </w:p>
    <w:p>
      <w:pPr>
        <w:ind w:left="1460" w:right="939" w:firstLine="335"/>
        <w:spacing w:after="0" w:line="256" w:lineRule="auto"/>
        <w:rPr>
          <w:sz w:val="20"/>
          <w:szCs w:val="20"/>
          <w:color w:val="auto"/>
        </w:rPr>
      </w:pPr>
      <w:r>
        <w:rPr>
          <w:rFonts w:ascii="Times New Roman" w:cs="Times New Roman" w:eastAsia="Times New Roman" w:hAnsi="Times New Roman"/>
          <w:sz w:val="14"/>
          <w:szCs w:val="14"/>
          <w:color w:val="auto"/>
        </w:rPr>
        <w:t>The applicable provisions described in this section, as well as those described under “Description of Debt Securities,” “Description of Guarantees,” “Description of Capital Stock” and “Description of Warrants,” will apply to each unit and to each security included in each unit, respectively.</w:t>
      </w:r>
    </w:p>
    <w:p>
      <w:pPr>
        <w:spacing w:after="0" w:line="9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23</w:t>
      </w:r>
    </w:p>
    <w:p>
      <w:pPr>
        <w:sectPr>
          <w:pgSz w:w="11900" w:h="16838" w:orient="portrait"/>
          <w:cols w:equalWidth="0" w:num="1">
            <w:col w:w="10159"/>
          </w:cols>
          <w:pgMar w:left="300" w:top="380" w:right="1440"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1">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4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DESCRIPTION OF RIGHTS</w:t>
      </w:r>
    </w:p>
    <w:p>
      <w:pPr>
        <w:spacing w:after="0" w:line="172" w:lineRule="exact"/>
        <w:rPr>
          <w:sz w:val="20"/>
          <w:szCs w:val="20"/>
          <w:color w:val="auto"/>
        </w:rPr>
      </w:pPr>
    </w:p>
    <w:p>
      <w:pPr>
        <w:ind w:left="1460" w:right="339" w:firstLine="335"/>
        <w:spacing w:after="0" w:line="252" w:lineRule="auto"/>
        <w:rPr>
          <w:sz w:val="20"/>
          <w:szCs w:val="20"/>
          <w:color w:val="auto"/>
        </w:rPr>
      </w:pPr>
      <w:r>
        <w:rPr>
          <w:rFonts w:ascii="Times New Roman" w:cs="Times New Roman" w:eastAsia="Times New Roman" w:hAnsi="Times New Roman"/>
          <w:sz w:val="14"/>
          <w:szCs w:val="14"/>
          <w:color w:val="auto"/>
        </w:rPr>
        <w:t>We may from time to time, issue rights to purchase our debt securities, common stock, preferred stock or other securities. The rights may or may not be transferable by the persons purchasing or receiving the rights. In connection with any rights offering, we may enter into a standby underwriting or other arrangement with one or more underwriters or other persons pursuant to which such underwriters or other persons would purchase any offered securities remaining unsubscribed after such rights offering.</w:t>
      </w:r>
    </w:p>
    <w:p>
      <w:pPr>
        <w:spacing w:after="0" w:line="146" w:lineRule="exact"/>
        <w:rPr>
          <w:sz w:val="20"/>
          <w:szCs w:val="20"/>
          <w:color w:val="auto"/>
        </w:rPr>
      </w:pPr>
    </w:p>
    <w:p>
      <w:pPr>
        <w:ind w:left="1460" w:right="439" w:firstLine="335"/>
        <w:spacing w:after="0" w:line="252" w:lineRule="auto"/>
        <w:rPr>
          <w:sz w:val="20"/>
          <w:szCs w:val="20"/>
          <w:color w:val="auto"/>
        </w:rPr>
      </w:pPr>
      <w:r>
        <w:rPr>
          <w:rFonts w:ascii="Times New Roman" w:cs="Times New Roman" w:eastAsia="Times New Roman" w:hAnsi="Times New Roman"/>
          <w:sz w:val="14"/>
          <w:szCs w:val="14"/>
          <w:color w:val="auto"/>
        </w:rPr>
        <w:t>Each series of rights will be issued under a separate rights agreement to be entered into, from time to time, between us and a bank or trust company, as rights agent, all as set forth in a prospectus supplement relating to the particular issue of rights. The rights agent will act solely as an agent of ours in connection with the certificates relating to the rights and will not assume any obligation or relationship of agency or trust for or with any holders of rights certificates or beneficial owners of rights.</w:t>
      </w:r>
    </w:p>
    <w:p>
      <w:pPr>
        <w:spacing w:after="0" w:line="146" w:lineRule="exact"/>
        <w:rPr>
          <w:sz w:val="20"/>
          <w:szCs w:val="20"/>
          <w:color w:val="auto"/>
        </w:rPr>
      </w:pPr>
    </w:p>
    <w:p>
      <w:pPr>
        <w:jc w:val="both"/>
        <w:ind w:left="1460" w:right="339" w:firstLine="335"/>
        <w:spacing w:after="0" w:line="252" w:lineRule="auto"/>
        <w:rPr>
          <w:sz w:val="20"/>
          <w:szCs w:val="20"/>
          <w:color w:val="auto"/>
        </w:rPr>
      </w:pPr>
      <w:r>
        <w:rPr>
          <w:rFonts w:ascii="Times New Roman" w:cs="Times New Roman" w:eastAsia="Times New Roman" w:hAnsi="Times New Roman"/>
          <w:sz w:val="14"/>
          <w:szCs w:val="14"/>
          <w:color w:val="auto"/>
        </w:rPr>
        <w:t>The following description is a summary of selected provisions relating to rights that we may offer. The summary is not complete. When rights are offered in the future, a prospectus supplement, or other offering material as applicable, will explain the particular terms of those securities and the extent to which these general provisions may apply. The specific terms of the rights as described in a prospectus supplement will supplement and, if applicable, may modify or replace the general terms described in this section.</w:t>
      </w:r>
    </w:p>
    <w:p>
      <w:pPr>
        <w:spacing w:after="0" w:line="146" w:lineRule="exact"/>
        <w:rPr>
          <w:sz w:val="20"/>
          <w:szCs w:val="20"/>
          <w:color w:val="auto"/>
        </w:rPr>
      </w:pPr>
    </w:p>
    <w:p>
      <w:pPr>
        <w:ind w:left="1460" w:right="399" w:firstLine="335"/>
        <w:spacing w:after="0" w:line="252" w:lineRule="auto"/>
        <w:rPr>
          <w:sz w:val="20"/>
          <w:szCs w:val="20"/>
          <w:color w:val="auto"/>
        </w:rPr>
      </w:pPr>
      <w:r>
        <w:rPr>
          <w:rFonts w:ascii="Times New Roman" w:cs="Times New Roman" w:eastAsia="Times New Roman" w:hAnsi="Times New Roman"/>
          <w:sz w:val="14"/>
          <w:szCs w:val="14"/>
          <w:color w:val="auto"/>
        </w:rPr>
        <w:t>This summary and any description of units in the applicable prospectus supplement or other offering material is subject to and is qualified in its entirety by reference to the rights agreement and, if applicable, underwriting or other arrangements relating to such rights. We will file these documents with the SEC for incorporation by reference into this prospectus. See “Where You Can Find More Information” and “Incorporation by Reference” for information on how to obtain a copy of a document when it is filed.</w:t>
      </w:r>
    </w:p>
    <w:p>
      <w:pPr>
        <w:spacing w:after="0" w:line="146"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4"/>
          <w:szCs w:val="14"/>
          <w:color w:val="auto"/>
        </w:rPr>
        <w:t>The applicable prospectus supplement will describe the terms of the rights to be issued, including the following where applicable:</w:t>
      </w:r>
    </w:p>
    <w:p>
      <w:pPr>
        <w:spacing w:after="0" w:line="96" w:lineRule="exact"/>
        <w:rPr>
          <w:sz w:val="20"/>
          <w:szCs w:val="20"/>
          <w:color w:val="auto"/>
        </w:rPr>
      </w:pPr>
    </w:p>
    <w:p>
      <w:pPr>
        <w:ind w:left="2200" w:hanging="338"/>
        <w:spacing w:after="0"/>
        <w:tabs>
          <w:tab w:leader="none" w:pos="220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for determining the security holders entitled to the rights distribution;</w:t>
      </w:r>
    </w:p>
    <w:p>
      <w:pPr>
        <w:spacing w:after="0" w:line="95" w:lineRule="exact"/>
        <w:rPr>
          <w:rFonts w:ascii="Times New Roman" w:cs="Times New Roman" w:eastAsia="Times New Roman" w:hAnsi="Times New Roman"/>
          <w:sz w:val="14"/>
          <w:szCs w:val="14"/>
          <w:color w:val="auto"/>
        </w:rPr>
      </w:pPr>
    </w:p>
    <w:p>
      <w:pPr>
        <w:ind w:left="2200" w:right="839" w:hanging="338"/>
        <w:spacing w:after="0" w:line="267" w:lineRule="auto"/>
        <w:tabs>
          <w:tab w:leader="none" w:pos="220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aggregate number of rights and the aggregate of amount of debt securities, common shares, preferred shares or other securities purchasable upon exercise of the rights;</w:t>
      </w:r>
    </w:p>
    <w:p>
      <w:pPr>
        <w:spacing w:after="0" w:line="63" w:lineRule="exact"/>
        <w:rPr>
          <w:rFonts w:ascii="Times New Roman" w:cs="Times New Roman" w:eastAsia="Times New Roman" w:hAnsi="Times New Roman"/>
          <w:sz w:val="14"/>
          <w:szCs w:val="14"/>
          <w:color w:val="auto"/>
        </w:rPr>
      </w:pPr>
    </w:p>
    <w:p>
      <w:pPr>
        <w:ind w:left="2200" w:hanging="338"/>
        <w:spacing w:after="0"/>
        <w:tabs>
          <w:tab w:leader="none" w:pos="220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exercise price and any adjustments to such exercise price;</w:t>
      </w:r>
    </w:p>
    <w:p>
      <w:pPr>
        <w:spacing w:after="0" w:line="95" w:lineRule="exact"/>
        <w:rPr>
          <w:rFonts w:ascii="Times New Roman" w:cs="Times New Roman" w:eastAsia="Times New Roman" w:hAnsi="Times New Roman"/>
          <w:sz w:val="14"/>
          <w:szCs w:val="14"/>
          <w:color w:val="auto"/>
        </w:rPr>
      </w:pPr>
    </w:p>
    <w:p>
      <w:pPr>
        <w:ind w:left="2200" w:hanging="338"/>
        <w:spacing w:after="0"/>
        <w:tabs>
          <w:tab w:leader="none" w:pos="220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aggregate number of rights being issued;</w:t>
      </w:r>
    </w:p>
    <w:p>
      <w:pPr>
        <w:spacing w:after="0" w:line="95" w:lineRule="exact"/>
        <w:rPr>
          <w:rFonts w:ascii="Times New Roman" w:cs="Times New Roman" w:eastAsia="Times New Roman" w:hAnsi="Times New Roman"/>
          <w:sz w:val="14"/>
          <w:szCs w:val="14"/>
          <w:color w:val="auto"/>
        </w:rPr>
      </w:pPr>
    </w:p>
    <w:p>
      <w:pPr>
        <w:ind w:left="2200" w:hanging="338"/>
        <w:spacing w:after="0"/>
        <w:tabs>
          <w:tab w:leader="none" w:pos="220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if any, on and after which the rights may be transferable separately;</w:t>
      </w:r>
    </w:p>
    <w:p>
      <w:pPr>
        <w:spacing w:after="0" w:line="95" w:lineRule="exact"/>
        <w:rPr>
          <w:rFonts w:ascii="Times New Roman" w:cs="Times New Roman" w:eastAsia="Times New Roman" w:hAnsi="Times New Roman"/>
          <w:sz w:val="14"/>
          <w:szCs w:val="14"/>
          <w:color w:val="auto"/>
        </w:rPr>
      </w:pPr>
    </w:p>
    <w:p>
      <w:pPr>
        <w:ind w:left="2200" w:hanging="338"/>
        <w:spacing w:after="0"/>
        <w:tabs>
          <w:tab w:leader="none" w:pos="220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on which the right to exercise the rights shall commence and the date on which the right shall expire;</w:t>
      </w:r>
    </w:p>
    <w:p>
      <w:pPr>
        <w:spacing w:after="0" w:line="95" w:lineRule="exact"/>
        <w:rPr>
          <w:rFonts w:ascii="Times New Roman" w:cs="Times New Roman" w:eastAsia="Times New Roman" w:hAnsi="Times New Roman"/>
          <w:sz w:val="14"/>
          <w:szCs w:val="14"/>
          <w:color w:val="auto"/>
        </w:rPr>
      </w:pPr>
    </w:p>
    <w:p>
      <w:pPr>
        <w:ind w:left="2200" w:hanging="338"/>
        <w:spacing w:after="0"/>
        <w:tabs>
          <w:tab w:leader="none" w:pos="220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material U.S. federal income tax consequences; and</w:t>
      </w:r>
    </w:p>
    <w:p>
      <w:pPr>
        <w:spacing w:after="0" w:line="95" w:lineRule="exact"/>
        <w:rPr>
          <w:rFonts w:ascii="Times New Roman" w:cs="Times New Roman" w:eastAsia="Times New Roman" w:hAnsi="Times New Roman"/>
          <w:sz w:val="14"/>
          <w:szCs w:val="14"/>
          <w:color w:val="auto"/>
        </w:rPr>
      </w:pPr>
    </w:p>
    <w:p>
      <w:pPr>
        <w:ind w:left="2200" w:hanging="338"/>
        <w:spacing w:after="0"/>
        <w:tabs>
          <w:tab w:leader="none" w:pos="2200" w:val="left"/>
        </w:tabs>
        <w:numPr>
          <w:ilvl w:val="0"/>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other terms of the rights, including terms, procedures and limitations relating to the distribution, exchange and exercise of the rights.</w:t>
      </w:r>
    </w:p>
    <w:p>
      <w:pPr>
        <w:spacing w:after="0" w:line="179" w:lineRule="exact"/>
        <w:rPr>
          <w:sz w:val="20"/>
          <w:szCs w:val="20"/>
          <w:color w:val="auto"/>
        </w:rPr>
      </w:pPr>
    </w:p>
    <w:p>
      <w:pPr>
        <w:jc w:val="both"/>
        <w:ind w:left="1460" w:right="399" w:firstLine="335"/>
        <w:spacing w:after="0" w:line="256" w:lineRule="auto"/>
        <w:rPr>
          <w:sz w:val="20"/>
          <w:szCs w:val="20"/>
          <w:color w:val="auto"/>
        </w:rPr>
      </w:pPr>
      <w:r>
        <w:rPr>
          <w:rFonts w:ascii="Times New Roman" w:cs="Times New Roman" w:eastAsia="Times New Roman" w:hAnsi="Times New Roman"/>
          <w:sz w:val="14"/>
          <w:szCs w:val="14"/>
          <w:color w:val="auto"/>
        </w:rPr>
        <w:t>If less than all of the rights issued in any rights offering are exercised, we may offer any unsubscribed securities directly to persons other than our security holders, to or through agents, underwriters or dealer or through a combination of such methods, including pursuant to standby arrangements, as described in the applicable prospectus supplement.</w:t>
      </w:r>
    </w:p>
    <w:p>
      <w:pPr>
        <w:spacing w:after="0" w:line="9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24</w:t>
      </w:r>
    </w:p>
    <w:p>
      <w:pPr>
        <w:sectPr>
          <w:pgSz w:w="11900" w:h="16838" w:orient="portrait"/>
          <w:cols w:equalWidth="0" w:num="1">
            <w:col w:w="10159"/>
          </w:cols>
          <w:pgMar w:left="300" w:top="380" w:right="1440"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2">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40"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4"/>
          <w:szCs w:val="14"/>
          <w:b w:val="1"/>
          <w:bCs w:val="1"/>
          <w:color w:val="auto"/>
        </w:rPr>
        <w:t>PLAN OF DISTRIBUTION</w:t>
      </w:r>
    </w:p>
    <w:p>
      <w:pPr>
        <w:spacing w:after="0" w:line="172"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4"/>
          <w:szCs w:val="14"/>
          <w:color w:val="auto"/>
        </w:rPr>
        <w:t>We may sell the securities described in this prospectus from time to time in one or more transactions:</w:t>
      </w:r>
    </w:p>
    <w:p>
      <w:pPr>
        <w:spacing w:after="0" w:line="96" w:lineRule="exact"/>
        <w:rPr>
          <w:sz w:val="20"/>
          <w:szCs w:val="20"/>
          <w:color w:val="auto"/>
        </w:rPr>
      </w:pPr>
    </w:p>
    <w:p>
      <w:pPr>
        <w:ind w:left="2200" w:hanging="338"/>
        <w:spacing w:after="0"/>
        <w:tabs>
          <w:tab w:leader="none" w:pos="220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purchasers directly;</w:t>
      </w:r>
    </w:p>
    <w:p>
      <w:pPr>
        <w:spacing w:after="0" w:line="95" w:lineRule="exact"/>
        <w:rPr>
          <w:rFonts w:ascii="Times New Roman" w:cs="Times New Roman" w:eastAsia="Times New Roman" w:hAnsi="Times New Roman"/>
          <w:sz w:val="14"/>
          <w:szCs w:val="14"/>
          <w:color w:val="auto"/>
        </w:rPr>
      </w:pPr>
    </w:p>
    <w:p>
      <w:pPr>
        <w:ind w:left="2200" w:hanging="338"/>
        <w:spacing w:after="0"/>
        <w:tabs>
          <w:tab w:leader="none" w:pos="220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underwriters for public offering and sale by them;</w:t>
      </w:r>
    </w:p>
    <w:p>
      <w:pPr>
        <w:spacing w:after="0" w:line="95" w:lineRule="exact"/>
        <w:rPr>
          <w:rFonts w:ascii="Times New Roman" w:cs="Times New Roman" w:eastAsia="Times New Roman" w:hAnsi="Times New Roman"/>
          <w:sz w:val="14"/>
          <w:szCs w:val="14"/>
          <w:color w:val="auto"/>
        </w:rPr>
      </w:pPr>
    </w:p>
    <w:p>
      <w:pPr>
        <w:ind w:left="2200" w:hanging="338"/>
        <w:spacing w:after="0"/>
        <w:tabs>
          <w:tab w:leader="none" w:pos="220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agents;</w:t>
      </w:r>
    </w:p>
    <w:p>
      <w:pPr>
        <w:spacing w:after="0" w:line="95" w:lineRule="exact"/>
        <w:rPr>
          <w:rFonts w:ascii="Times New Roman" w:cs="Times New Roman" w:eastAsia="Times New Roman" w:hAnsi="Times New Roman"/>
          <w:sz w:val="14"/>
          <w:szCs w:val="14"/>
          <w:color w:val="auto"/>
        </w:rPr>
      </w:pPr>
    </w:p>
    <w:p>
      <w:pPr>
        <w:ind w:left="2200" w:hanging="338"/>
        <w:spacing w:after="0"/>
        <w:tabs>
          <w:tab w:leader="none" w:pos="220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dealers; or</w:t>
      </w:r>
    </w:p>
    <w:p>
      <w:pPr>
        <w:spacing w:after="0" w:line="95" w:lineRule="exact"/>
        <w:rPr>
          <w:rFonts w:ascii="Times New Roman" w:cs="Times New Roman" w:eastAsia="Times New Roman" w:hAnsi="Times New Roman"/>
          <w:sz w:val="14"/>
          <w:szCs w:val="14"/>
          <w:color w:val="auto"/>
        </w:rPr>
      </w:pPr>
    </w:p>
    <w:p>
      <w:pPr>
        <w:ind w:left="2200" w:hanging="338"/>
        <w:spacing w:after="0"/>
        <w:tabs>
          <w:tab w:leader="none" w:pos="220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a combination of any of the foregoing methods of sale.</w:t>
      </w:r>
    </w:p>
    <w:p>
      <w:pPr>
        <w:spacing w:after="0" w:line="168" w:lineRule="exact"/>
        <w:rPr>
          <w:sz w:val="20"/>
          <w:szCs w:val="20"/>
          <w:color w:val="auto"/>
        </w:rPr>
      </w:pPr>
    </w:p>
    <w:p>
      <w:pPr>
        <w:ind w:left="1460" w:right="399" w:firstLine="335"/>
        <w:spacing w:after="0" w:line="256" w:lineRule="auto"/>
        <w:rPr>
          <w:sz w:val="20"/>
          <w:szCs w:val="20"/>
          <w:color w:val="auto"/>
        </w:rPr>
      </w:pPr>
      <w:r>
        <w:rPr>
          <w:rFonts w:ascii="Times New Roman" w:cs="Times New Roman" w:eastAsia="Times New Roman" w:hAnsi="Times New Roman"/>
          <w:sz w:val="14"/>
          <w:szCs w:val="14"/>
          <w:color w:val="auto"/>
        </w:rPr>
        <w:t>We may sell the securities directly to institutional investors or others who may be deemed to be underwriters within the meaning of the Securities Act, with respect to any resale of the securities. A prospectus supplement will describe the terms of any sale of securities we are offering hereunder. Direct sales may be arranged by a securities broker-dealer or other financial intermediary.</w:t>
      </w:r>
    </w:p>
    <w:p>
      <w:pPr>
        <w:spacing w:after="0" w:line="143" w:lineRule="exact"/>
        <w:rPr>
          <w:sz w:val="20"/>
          <w:szCs w:val="20"/>
          <w:color w:val="auto"/>
        </w:rPr>
      </w:pPr>
    </w:p>
    <w:p>
      <w:pPr>
        <w:ind w:left="1460" w:right="339" w:firstLine="335"/>
        <w:spacing w:after="0" w:line="278" w:lineRule="auto"/>
        <w:rPr>
          <w:sz w:val="20"/>
          <w:szCs w:val="20"/>
          <w:color w:val="auto"/>
        </w:rPr>
      </w:pPr>
      <w:r>
        <w:rPr>
          <w:rFonts w:ascii="Times New Roman" w:cs="Times New Roman" w:eastAsia="Times New Roman" w:hAnsi="Times New Roman"/>
          <w:sz w:val="13"/>
          <w:szCs w:val="13"/>
          <w:color w:val="auto"/>
        </w:rPr>
        <w:t>The applicable prospectus supplement will name any underwriter involved in a sale of securities. Underwriters may offer and sell securities at a fixed price or prices, which may be changed, or from time to time at market prices or at negotiated prices. Underwriters may be deemed to have received compensation from us from sales of securities in the form of underwriting discounts or commissions and may also receive commissions from purchasers of securities for whom they may act as agent. Underwriters may be involved in any “at the market” offering of securities by or on our behalf.</w:t>
      </w:r>
    </w:p>
    <w:p>
      <w:pPr>
        <w:spacing w:after="0" w:line="129" w:lineRule="exact"/>
        <w:rPr>
          <w:sz w:val="20"/>
          <w:szCs w:val="20"/>
          <w:color w:val="auto"/>
        </w:rPr>
      </w:pPr>
    </w:p>
    <w:p>
      <w:pPr>
        <w:ind w:left="1460" w:right="679" w:firstLine="335"/>
        <w:spacing w:after="0" w:line="256" w:lineRule="auto"/>
        <w:rPr>
          <w:sz w:val="20"/>
          <w:szCs w:val="20"/>
          <w:color w:val="auto"/>
        </w:rPr>
      </w:pPr>
      <w:r>
        <w:rPr>
          <w:rFonts w:ascii="Times New Roman" w:cs="Times New Roman" w:eastAsia="Times New Roman" w:hAnsi="Times New Roman"/>
          <w:sz w:val="14"/>
          <w:szCs w:val="14"/>
          <w:color w:val="auto"/>
        </w:rPr>
        <w:t>Underwriters may sell securities to or through dealers, and such dealers may receive compensation in the form of discounts, concessions or commissions from the underwriters and/or commissions (which may be changed from time to time) from the purchasers for whom they may act as agent.</w:t>
      </w:r>
    </w:p>
    <w:p>
      <w:pPr>
        <w:spacing w:after="0" w:line="143" w:lineRule="exact"/>
        <w:rPr>
          <w:sz w:val="20"/>
          <w:szCs w:val="20"/>
          <w:color w:val="auto"/>
        </w:rPr>
      </w:pPr>
    </w:p>
    <w:p>
      <w:pPr>
        <w:ind w:left="1460" w:right="559" w:firstLine="335"/>
        <w:spacing w:after="0" w:line="267" w:lineRule="auto"/>
        <w:rPr>
          <w:sz w:val="20"/>
          <w:szCs w:val="20"/>
          <w:color w:val="auto"/>
        </w:rPr>
      </w:pPr>
      <w:r>
        <w:rPr>
          <w:rFonts w:ascii="Times New Roman" w:cs="Times New Roman" w:eastAsia="Times New Roman" w:hAnsi="Times New Roman"/>
          <w:sz w:val="14"/>
          <w:szCs w:val="14"/>
          <w:color w:val="auto"/>
        </w:rPr>
        <w:t>Unless we state otherwise in the applicable prospectus supplement, the obligations of any underwriters to purchase securities will be subject to certain conditions precedent, and the underwriters will be obligated to purchase all the securities if any are purchased.</w:t>
      </w:r>
    </w:p>
    <w:p>
      <w:pPr>
        <w:spacing w:after="0" w:line="135" w:lineRule="exact"/>
        <w:rPr>
          <w:sz w:val="20"/>
          <w:szCs w:val="20"/>
          <w:color w:val="auto"/>
        </w:rPr>
      </w:pPr>
    </w:p>
    <w:p>
      <w:pPr>
        <w:ind w:left="1460" w:right="539" w:firstLine="335"/>
        <w:spacing w:after="0" w:line="256" w:lineRule="auto"/>
        <w:rPr>
          <w:sz w:val="20"/>
          <w:szCs w:val="20"/>
          <w:color w:val="auto"/>
        </w:rPr>
      </w:pPr>
      <w:r>
        <w:rPr>
          <w:rFonts w:ascii="Times New Roman" w:cs="Times New Roman" w:eastAsia="Times New Roman" w:hAnsi="Times New Roman"/>
          <w:sz w:val="14"/>
          <w:szCs w:val="14"/>
          <w:color w:val="auto"/>
        </w:rPr>
        <w:t>The applicable prospectus supplement will set forth whether or not underwriters may over-allot or effect transactions that stabilize, maintain or otherwise affect the market price of the securities at levels above those that might otherwise prevail in the open market, including, for example, by entering stabilizing bids, effecting syndicate covering transactions or imposing penalty bids.</w:t>
      </w:r>
    </w:p>
    <w:p>
      <w:pPr>
        <w:spacing w:after="0" w:line="143"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4"/>
          <w:szCs w:val="14"/>
          <w:color w:val="auto"/>
        </w:rPr>
        <w:t>We will name any agent involved in a sale of securities, as well as any commissions payable to such agent, in a prospectus supplement.</w:t>
      </w:r>
    </w:p>
    <w:p>
      <w:pPr>
        <w:spacing w:after="0" w:line="168" w:lineRule="exact"/>
        <w:rPr>
          <w:sz w:val="20"/>
          <w:szCs w:val="20"/>
          <w:color w:val="auto"/>
        </w:rPr>
      </w:pPr>
    </w:p>
    <w:p>
      <w:pPr>
        <w:jc w:val="both"/>
        <w:ind w:left="1460" w:right="399" w:firstLine="335"/>
        <w:spacing w:after="0" w:line="267" w:lineRule="auto"/>
        <w:rPr>
          <w:sz w:val="20"/>
          <w:szCs w:val="20"/>
          <w:color w:val="auto"/>
        </w:rPr>
      </w:pPr>
      <w:r>
        <w:rPr>
          <w:rFonts w:ascii="Times New Roman" w:cs="Times New Roman" w:eastAsia="Times New Roman" w:hAnsi="Times New Roman"/>
          <w:sz w:val="14"/>
          <w:szCs w:val="14"/>
          <w:color w:val="auto"/>
        </w:rPr>
        <w:t>Unless we state otherwise in the applicable prospectus supplement, any such agent will be acting on a reasonable efforts basis for the period of its appointment.</w:t>
      </w:r>
    </w:p>
    <w:p>
      <w:pPr>
        <w:spacing w:after="0" w:line="135" w:lineRule="exact"/>
        <w:rPr>
          <w:sz w:val="20"/>
          <w:szCs w:val="20"/>
          <w:color w:val="auto"/>
        </w:rPr>
      </w:pPr>
    </w:p>
    <w:p>
      <w:pPr>
        <w:jc w:val="both"/>
        <w:ind w:left="1460" w:right="379" w:firstLine="335"/>
        <w:spacing w:after="0" w:line="256" w:lineRule="auto"/>
        <w:rPr>
          <w:sz w:val="20"/>
          <w:szCs w:val="20"/>
          <w:color w:val="auto"/>
        </w:rPr>
      </w:pPr>
      <w:r>
        <w:rPr>
          <w:rFonts w:ascii="Times New Roman" w:cs="Times New Roman" w:eastAsia="Times New Roman" w:hAnsi="Times New Roman"/>
          <w:sz w:val="14"/>
          <w:szCs w:val="14"/>
          <w:color w:val="auto"/>
        </w:rPr>
        <w:t>If a dealer is utilized in the sale of the securities being offered pursuant to this prospectus, we and/or one or more selling stockholders will sell the securities to the dealer, as principal. The dealer may then resell the securities to the public at varying prices to be determined by the dealer at the time of resale.</w:t>
      </w:r>
    </w:p>
    <w:p>
      <w:pPr>
        <w:spacing w:after="0" w:line="143" w:lineRule="exact"/>
        <w:rPr>
          <w:sz w:val="20"/>
          <w:szCs w:val="20"/>
          <w:color w:val="auto"/>
        </w:rPr>
      </w:pPr>
    </w:p>
    <w:p>
      <w:pPr>
        <w:ind w:left="1460" w:right="339" w:firstLine="335"/>
        <w:spacing w:after="0" w:line="252" w:lineRule="auto"/>
        <w:rPr>
          <w:sz w:val="20"/>
          <w:szCs w:val="20"/>
          <w:color w:val="auto"/>
        </w:rPr>
      </w:pPr>
      <w:r>
        <w:rPr>
          <w:rFonts w:ascii="Times New Roman" w:cs="Times New Roman" w:eastAsia="Times New Roman" w:hAnsi="Times New Roman"/>
          <w:sz w:val="14"/>
          <w:szCs w:val="14"/>
          <w:color w:val="auto"/>
        </w:rPr>
        <w:t>Underwriters, dealers and agents participating in a sale of the securities may be deemed to be underwriters as defined in the Securities Act, and any discounts and commissions received by them and any profit realized by them on resale of the securities may be deemed to be underwriting discounts and commissions, under the Securities Act. We may have agreements with underwriters, dealers and agents to indemnify them against certain civil liabilities, including liabilities under the Securities Act, and to reimburse them for certain expenses.</w:t>
      </w:r>
    </w:p>
    <w:p>
      <w:pPr>
        <w:spacing w:after="0" w:line="9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25</w:t>
      </w:r>
    </w:p>
    <w:p>
      <w:pPr>
        <w:sectPr>
          <w:pgSz w:w="11900" w:h="16838" w:orient="portrait"/>
          <w:cols w:equalWidth="0" w:num="1">
            <w:col w:w="10159"/>
          </w:cols>
          <w:pgMar w:left="300" w:top="380" w:right="1440"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3">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4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WHERE YOU CAN FIND MORE INFORMATION</w:t>
      </w:r>
    </w:p>
    <w:p>
      <w:pPr>
        <w:spacing w:after="0" w:line="168" w:lineRule="exact"/>
        <w:rPr>
          <w:sz w:val="20"/>
          <w:szCs w:val="20"/>
          <w:color w:val="auto"/>
        </w:rPr>
      </w:pPr>
    </w:p>
    <w:p>
      <w:pPr>
        <w:ind w:left="1460" w:right="399" w:firstLine="335"/>
        <w:spacing w:after="0" w:line="254" w:lineRule="auto"/>
        <w:rPr>
          <w:sz w:val="20"/>
          <w:szCs w:val="20"/>
          <w:color w:val="auto"/>
        </w:rPr>
      </w:pPr>
      <w:r>
        <w:rPr>
          <w:rFonts w:ascii="Times New Roman" w:cs="Times New Roman" w:eastAsia="Times New Roman" w:hAnsi="Times New Roman"/>
          <w:sz w:val="14"/>
          <w:szCs w:val="14"/>
          <w:color w:val="auto"/>
        </w:rPr>
        <w:t>We file annual, quarterly and current reports, proxy statements and other information with the SEC. The SEC maintains a website (</w:t>
      </w:r>
      <w:r>
        <w:rPr>
          <w:rFonts w:ascii="Times New Roman" w:cs="Times New Roman" w:eastAsia="Times New Roman" w:hAnsi="Times New Roman"/>
          <w:sz w:val="14"/>
          <w:szCs w:val="14"/>
          <w:i w:val="1"/>
          <w:iCs w:val="1"/>
          <w:color w:val="auto"/>
        </w:rPr>
        <w:t>www.sec.gov</w:t>
      </w:r>
      <w:r>
        <w:rPr>
          <w:rFonts w:ascii="Times New Roman" w:cs="Times New Roman" w:eastAsia="Times New Roman" w:hAnsi="Times New Roman"/>
          <w:sz w:val="14"/>
          <w:szCs w:val="14"/>
          <w:color w:val="auto"/>
        </w:rPr>
        <w:t>) that contains reports, proxy and information statements, and other information regarding issuers, including us, that file electronically with the SEC. The public can obtain any documents that we file electronically with the SEC. You may also obtain our filings through the New York Stock Exchange, 20 Broad Street, New York, New York 10005, on which our common stock is listed.</w:t>
      </w:r>
    </w:p>
    <w:p>
      <w:pPr>
        <w:spacing w:after="0" w:line="141" w:lineRule="exact"/>
        <w:rPr>
          <w:sz w:val="20"/>
          <w:szCs w:val="20"/>
          <w:color w:val="auto"/>
        </w:rPr>
      </w:pPr>
    </w:p>
    <w:p>
      <w:pPr>
        <w:ind w:left="1460" w:right="359" w:firstLine="335"/>
        <w:spacing w:after="0" w:line="252" w:lineRule="auto"/>
        <w:rPr>
          <w:sz w:val="20"/>
          <w:szCs w:val="20"/>
          <w:color w:val="auto"/>
        </w:rPr>
      </w:pPr>
      <w:r>
        <w:rPr>
          <w:rFonts w:ascii="Times New Roman" w:cs="Times New Roman" w:eastAsia="Times New Roman" w:hAnsi="Times New Roman"/>
          <w:sz w:val="14"/>
          <w:szCs w:val="14"/>
          <w:color w:val="auto"/>
        </w:rPr>
        <w:t>We also make available, free of charge, on or through our website (</w:t>
      </w:r>
      <w:r>
        <w:rPr>
          <w:rFonts w:ascii="Times New Roman" w:cs="Times New Roman" w:eastAsia="Times New Roman" w:hAnsi="Times New Roman"/>
          <w:sz w:val="14"/>
          <w:szCs w:val="14"/>
          <w:i w:val="1"/>
          <w:iCs w:val="1"/>
          <w:color w:val="auto"/>
        </w:rPr>
        <w:t>https://www.swgasholdings.com</w:t>
      </w:r>
      <w:r>
        <w:rPr>
          <w:rFonts w:ascii="Times New Roman" w:cs="Times New Roman" w:eastAsia="Times New Roman" w:hAnsi="Times New Roman"/>
          <w:sz w:val="14"/>
          <w:szCs w:val="14"/>
          <w:color w:val="auto"/>
        </w:rPr>
        <w:t>) our Annual Reports on Form 10-K, Quarterly Reports on Form 10-Q, Current Reports on Form 8-K, Proxy Statements on Schedule 14A and, if applicable, amendments to those reports filed or furnished pursuant to Section 13(a) of the Exchange Act, as soon as reasonably practicable after we electronically file such material with, or furnish it to, the SEC. Please note, however, that we have not incorporated any other information by reference from our website, other than the documents listed under the heading “Incorporation by Reference.”</w:t>
      </w:r>
    </w:p>
    <w:p>
      <w:pPr>
        <w:spacing w:after="0" w:line="145" w:lineRule="exact"/>
        <w:rPr>
          <w:sz w:val="20"/>
          <w:szCs w:val="20"/>
          <w:color w:val="auto"/>
        </w:rPr>
      </w:pPr>
    </w:p>
    <w:p>
      <w:pPr>
        <w:ind w:left="1460" w:right="379" w:firstLine="335"/>
        <w:spacing w:after="0" w:line="250" w:lineRule="auto"/>
        <w:rPr>
          <w:sz w:val="20"/>
          <w:szCs w:val="20"/>
          <w:color w:val="auto"/>
        </w:rPr>
      </w:pPr>
      <w:r>
        <w:rPr>
          <w:rFonts w:ascii="Times New Roman" w:cs="Times New Roman" w:eastAsia="Times New Roman" w:hAnsi="Times New Roman"/>
          <w:sz w:val="14"/>
          <w:szCs w:val="14"/>
          <w:color w:val="auto"/>
        </w:rPr>
        <w:t>We have filed with the SEC a registration statement on Form S-3 relating to the securities covered by this prospectus. This prospectus is a part of the registration statement and does not contain all the information in the registration statement. Whenever a reference is made in this prospectus to a contract or other document of ours, the reference is only a summary and you should refer to the exhibits that are a part of the registration statement for a copy of the contract or other document. You may review a copy of the registration statement and the documents incorporated by reference herein through the SEC’s website referenced above.</w:t>
      </w:r>
    </w:p>
    <w:p>
      <w:pPr>
        <w:spacing w:after="0" w:line="9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26</w:t>
      </w:r>
    </w:p>
    <w:p>
      <w:pPr>
        <w:sectPr>
          <w:pgSz w:w="11900" w:h="16838" w:orient="portrait"/>
          <w:cols w:equalWidth="0" w:num="1">
            <w:col w:w="10159"/>
          </w:cols>
          <w:pgMar w:left="300" w:top="380" w:right="1440"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4">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4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INCORPORATION BY REFERENCE</w:t>
      </w:r>
    </w:p>
    <w:p>
      <w:pPr>
        <w:spacing w:after="0" w:line="172" w:lineRule="exact"/>
        <w:rPr>
          <w:sz w:val="20"/>
          <w:szCs w:val="20"/>
          <w:color w:val="auto"/>
        </w:rPr>
      </w:pPr>
    </w:p>
    <w:p>
      <w:pPr>
        <w:ind w:left="1460" w:right="359" w:firstLine="335"/>
        <w:spacing w:after="0" w:line="256" w:lineRule="auto"/>
        <w:rPr>
          <w:sz w:val="20"/>
          <w:szCs w:val="20"/>
          <w:color w:val="auto"/>
        </w:rPr>
      </w:pPr>
      <w:r>
        <w:rPr>
          <w:rFonts w:ascii="Times New Roman" w:cs="Times New Roman" w:eastAsia="Times New Roman" w:hAnsi="Times New Roman"/>
          <w:sz w:val="14"/>
          <w:szCs w:val="14"/>
          <w:color w:val="auto"/>
        </w:rPr>
        <w:t>The SEC allows us to “incorporate by reference” into this prospectus the information in other documents that we file with it, which means that we can disclose important information to you by referring you to those documents. The information that we incorporate by reference is considered to be a part of this prospectus.</w:t>
      </w:r>
    </w:p>
    <w:p>
      <w:pPr>
        <w:spacing w:after="0" w:line="143" w:lineRule="exact"/>
        <w:rPr>
          <w:sz w:val="20"/>
          <w:szCs w:val="20"/>
          <w:color w:val="auto"/>
        </w:rPr>
      </w:pPr>
    </w:p>
    <w:p>
      <w:pPr>
        <w:ind w:left="1460" w:right="359" w:firstLine="335"/>
        <w:spacing w:after="0" w:line="306" w:lineRule="auto"/>
        <w:rPr>
          <w:sz w:val="20"/>
          <w:szCs w:val="20"/>
          <w:color w:val="auto"/>
        </w:rPr>
      </w:pPr>
      <w:r>
        <w:rPr>
          <w:rFonts w:ascii="Times New Roman" w:cs="Times New Roman" w:eastAsia="Times New Roman" w:hAnsi="Times New Roman"/>
          <w:sz w:val="13"/>
          <w:szCs w:val="13"/>
          <w:color w:val="auto"/>
        </w:rPr>
        <w:t>Any reports that we file with the SEC on or after the date of this prospectus and before the date that the offering of the securities is terminated will automatically update and, where applicable, supersede any information contained in this prospectus or incorporated by reference into this prospectus.</w:t>
      </w:r>
    </w:p>
    <w:p>
      <w:pPr>
        <w:spacing w:after="0" w:line="112" w:lineRule="exact"/>
        <w:rPr>
          <w:sz w:val="20"/>
          <w:szCs w:val="20"/>
          <w:color w:val="auto"/>
        </w:rPr>
      </w:pPr>
    </w:p>
    <w:p>
      <w:pPr>
        <w:ind w:left="1460" w:right="379" w:firstLine="335"/>
        <w:spacing w:after="0" w:line="250" w:lineRule="auto"/>
        <w:rPr>
          <w:sz w:val="20"/>
          <w:szCs w:val="20"/>
          <w:color w:val="auto"/>
        </w:rPr>
      </w:pPr>
      <w:r>
        <w:rPr>
          <w:rFonts w:ascii="Times New Roman" w:cs="Times New Roman" w:eastAsia="Times New Roman" w:hAnsi="Times New Roman"/>
          <w:sz w:val="14"/>
          <w:szCs w:val="14"/>
          <w:color w:val="auto"/>
        </w:rPr>
        <w:t>This means that you must look at all of the SEC filings that we incorporate by reference to determine if any of the statements in this prospectus or in any documents previously incorporated by reference into this prospectus have been modified or superseded. We specifically incorporate by reference into this prospectus the following documents filed with the SEC (other than, in each case, documents or information deemed furnished and not filed in accordance with SEC rules, including pursuant to Item 2.02 or Item 7.01 of Form 8-K, and no such information shall be deemed specifically incorporated by reference hereby):</w:t>
      </w:r>
    </w:p>
    <w:p>
      <w:pPr>
        <w:spacing w:after="0" w:line="76" w:lineRule="exact"/>
        <w:rPr>
          <w:sz w:val="20"/>
          <w:szCs w:val="20"/>
          <w:color w:val="auto"/>
        </w:rPr>
      </w:pPr>
    </w:p>
    <w:p>
      <w:pPr>
        <w:ind w:left="2200" w:hanging="338"/>
        <w:spacing w:after="0"/>
        <w:tabs>
          <w:tab w:leader="none" w:pos="220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Annual Report of Southwest Gas Holdings, Inc. on </w:t>
      </w:r>
      <w:hyperlink r:id="rId85">
        <w:r>
          <w:rPr>
            <w:rFonts w:ascii="Times New Roman" w:cs="Times New Roman" w:eastAsia="Times New Roman" w:hAnsi="Times New Roman"/>
            <w:sz w:val="14"/>
            <w:szCs w:val="14"/>
            <w:u w:val="single" w:color="auto"/>
            <w:color w:val="0000EE"/>
          </w:rPr>
          <w:t>Form 10-K</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for the year ended December 31, 2022;</w:t>
      </w:r>
    </w:p>
    <w:p>
      <w:pPr>
        <w:spacing w:after="0" w:line="95" w:lineRule="exact"/>
        <w:rPr>
          <w:rFonts w:ascii="Times New Roman" w:cs="Times New Roman" w:eastAsia="Times New Roman" w:hAnsi="Times New Roman"/>
          <w:sz w:val="14"/>
          <w:szCs w:val="14"/>
          <w:color w:val="auto"/>
        </w:rPr>
      </w:pPr>
    </w:p>
    <w:p>
      <w:pPr>
        <w:ind w:left="2200" w:hanging="338"/>
        <w:spacing w:after="0"/>
        <w:tabs>
          <w:tab w:leader="none" w:pos="220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Annual Report of Southwest Gas Corporation on </w:t>
      </w:r>
      <w:hyperlink r:id="rId86">
        <w:r>
          <w:rPr>
            <w:rFonts w:ascii="Times New Roman" w:cs="Times New Roman" w:eastAsia="Times New Roman" w:hAnsi="Times New Roman"/>
            <w:sz w:val="14"/>
            <w:szCs w:val="14"/>
            <w:u w:val="single" w:color="auto"/>
            <w:color w:val="0000EE"/>
          </w:rPr>
          <w:t>Form 10-K</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for the year ended December 31, 2022;</w:t>
      </w:r>
    </w:p>
    <w:p>
      <w:pPr>
        <w:spacing w:after="0" w:line="95" w:lineRule="exact"/>
        <w:rPr>
          <w:rFonts w:ascii="Times New Roman" w:cs="Times New Roman" w:eastAsia="Times New Roman" w:hAnsi="Times New Roman"/>
          <w:sz w:val="14"/>
          <w:szCs w:val="14"/>
          <w:color w:val="auto"/>
        </w:rPr>
      </w:pPr>
    </w:p>
    <w:p>
      <w:pPr>
        <w:ind w:left="2200" w:right="1079" w:hanging="338"/>
        <w:spacing w:after="0" w:line="267" w:lineRule="auto"/>
        <w:tabs>
          <w:tab w:leader="none" w:pos="2200" w:val="left"/>
        </w:tabs>
        <w:numPr>
          <w:ilvl w:val="0"/>
          <w:numId w:val="28"/>
        </w:numPr>
        <w:rPr>
          <w:rFonts w:ascii="Times New Roman" w:cs="Times New Roman" w:eastAsia="Times New Roman" w:hAnsi="Times New Roman"/>
          <w:sz w:val="14"/>
          <w:szCs w:val="14"/>
          <w:color w:val="0000EE"/>
        </w:rPr>
      </w:pPr>
      <w:r>
        <w:rPr>
          <w:rFonts w:ascii="Times New Roman" w:cs="Times New Roman" w:eastAsia="Times New Roman" w:hAnsi="Times New Roman"/>
          <w:sz w:val="14"/>
          <w:szCs w:val="14"/>
          <w:color w:val="auto"/>
        </w:rPr>
        <w:t xml:space="preserve">Quarterly Reports of Southwest Gas Holdings, Inc. on Form 10-Q for the quarters ended </w:t>
      </w:r>
      <w:hyperlink r:id="rId87">
        <w:r>
          <w:rPr>
            <w:rFonts w:ascii="Times New Roman" w:cs="Times New Roman" w:eastAsia="Times New Roman" w:hAnsi="Times New Roman"/>
            <w:sz w:val="14"/>
            <w:szCs w:val="14"/>
            <w:u w:val="single" w:color="auto"/>
            <w:color w:val="0000EE"/>
          </w:rPr>
          <w:t>March 31, 2023</w:t>
        </w:r>
      </w:hyperlink>
      <w:r>
        <w:rPr>
          <w:rFonts w:ascii="Times New Roman" w:cs="Times New Roman" w:eastAsia="Times New Roman" w:hAnsi="Times New Roman"/>
          <w:sz w:val="14"/>
          <w:szCs w:val="14"/>
          <w:color w:val="auto"/>
        </w:rPr>
        <w:t xml:space="preserve">, </w:t>
      </w:r>
      <w:hyperlink r:id="rId88">
        <w:r>
          <w:rPr>
            <w:rFonts w:ascii="Times New Roman" w:cs="Times New Roman" w:eastAsia="Times New Roman" w:hAnsi="Times New Roman"/>
            <w:sz w:val="14"/>
            <w:szCs w:val="14"/>
            <w:u w:val="single" w:color="auto"/>
            <w:color w:val="0000EE"/>
          </w:rPr>
          <w:t>June 30, 2023</w:t>
        </w:r>
      </w:hyperlink>
      <w:r>
        <w:rPr>
          <w:rFonts w:ascii="Times New Roman" w:cs="Times New Roman" w:eastAsia="Times New Roman" w:hAnsi="Times New Roman"/>
          <w:sz w:val="14"/>
          <w:szCs w:val="14"/>
          <w:color w:val="auto"/>
        </w:rPr>
        <w:t xml:space="preserve">, and </w:t>
      </w:r>
      <w:hyperlink r:id="rId89">
        <w:r>
          <w:rPr>
            <w:rFonts w:ascii="Times New Roman" w:cs="Times New Roman" w:eastAsia="Times New Roman" w:hAnsi="Times New Roman"/>
            <w:sz w:val="14"/>
            <w:szCs w:val="14"/>
            <w:u w:val="single" w:color="auto"/>
            <w:color w:val="0000EE"/>
          </w:rPr>
          <w:t>September 30, 2023</w:t>
        </w:r>
      </w:hyperlink>
      <w:r>
        <w:rPr>
          <w:rFonts w:ascii="Times New Roman" w:cs="Times New Roman" w:eastAsia="Times New Roman" w:hAnsi="Times New Roman"/>
          <w:sz w:val="14"/>
          <w:szCs w:val="14"/>
          <w:color w:val="000000"/>
        </w:rPr>
        <w:t>;</w:t>
      </w:r>
    </w:p>
    <w:p>
      <w:pPr>
        <w:spacing w:after="0" w:line="63" w:lineRule="exact"/>
        <w:rPr>
          <w:rFonts w:ascii="Times New Roman" w:cs="Times New Roman" w:eastAsia="Times New Roman" w:hAnsi="Times New Roman"/>
          <w:sz w:val="14"/>
          <w:szCs w:val="14"/>
          <w:color w:val="0000EE"/>
        </w:rPr>
      </w:pPr>
    </w:p>
    <w:p>
      <w:pPr>
        <w:ind w:left="2200" w:right="379" w:hanging="338"/>
        <w:spacing w:after="0" w:line="267" w:lineRule="auto"/>
        <w:tabs>
          <w:tab w:leader="none" w:pos="2200" w:val="left"/>
        </w:tabs>
        <w:numPr>
          <w:ilvl w:val="0"/>
          <w:numId w:val="28"/>
        </w:numPr>
        <w:rPr>
          <w:rFonts w:ascii="Times New Roman" w:cs="Times New Roman" w:eastAsia="Times New Roman" w:hAnsi="Times New Roman"/>
          <w:sz w:val="14"/>
          <w:szCs w:val="14"/>
          <w:color w:val="0000EE"/>
        </w:rPr>
      </w:pPr>
      <w:hyperlink r:id="rId90">
        <w:r>
          <w:rPr>
            <w:rFonts w:ascii="Times New Roman" w:cs="Times New Roman" w:eastAsia="Times New Roman" w:hAnsi="Times New Roman"/>
            <w:sz w:val="14"/>
            <w:szCs w:val="14"/>
            <w:color w:val="auto"/>
          </w:rPr>
          <w:t xml:space="preserve">Quarterly Reports of Southwest Gas Corporation on Form 10-Q for the quarters ended </w:t>
        </w:r>
        <w:r>
          <w:rPr>
            <w:rFonts w:ascii="Times New Roman" w:cs="Times New Roman" w:eastAsia="Times New Roman" w:hAnsi="Times New Roman"/>
            <w:sz w:val="14"/>
            <w:szCs w:val="14"/>
            <w:u w:val="single" w:color="auto"/>
            <w:color w:val="0000EE"/>
          </w:rPr>
          <w:t>March 31, 2023</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June 30, 2023</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0000EE"/>
          </w:rPr>
          <w:t>September 30,</w:t>
        </w:r>
      </w:hyperlink>
      <w:r>
        <w:rPr>
          <w:rFonts w:ascii="Times New Roman" w:cs="Times New Roman" w:eastAsia="Times New Roman" w:hAnsi="Times New Roman"/>
          <w:sz w:val="14"/>
          <w:szCs w:val="14"/>
          <w:color w:val="auto"/>
        </w:rPr>
        <w:t xml:space="preserve"> </w:t>
      </w:r>
      <w:hyperlink r:id="rId90">
        <w:r>
          <w:rPr>
            <w:rFonts w:ascii="Times New Roman" w:cs="Times New Roman" w:eastAsia="Times New Roman" w:hAnsi="Times New Roman"/>
            <w:sz w:val="14"/>
            <w:szCs w:val="14"/>
            <w:u w:val="single" w:color="auto"/>
            <w:color w:val="0000EE"/>
          </w:rPr>
          <w:t>2023</w:t>
        </w:r>
        <w:r>
          <w:rPr>
            <w:rFonts w:ascii="Times New Roman" w:cs="Times New Roman" w:eastAsia="Times New Roman" w:hAnsi="Times New Roman"/>
            <w:sz w:val="14"/>
            <w:szCs w:val="14"/>
            <w:color w:val="000000"/>
          </w:rPr>
          <w:t>;</w:t>
        </w:r>
      </w:hyperlink>
    </w:p>
    <w:p>
      <w:pPr>
        <w:spacing w:after="0" w:line="63" w:lineRule="exact"/>
        <w:rPr>
          <w:rFonts w:ascii="Times New Roman" w:cs="Times New Roman" w:eastAsia="Times New Roman" w:hAnsi="Times New Roman"/>
          <w:sz w:val="14"/>
          <w:szCs w:val="14"/>
          <w:color w:val="0000EE"/>
        </w:rPr>
      </w:pPr>
    </w:p>
    <w:p>
      <w:pPr>
        <w:ind w:left="2200" w:right="579" w:hanging="338"/>
        <w:spacing w:after="0" w:line="267" w:lineRule="auto"/>
        <w:tabs>
          <w:tab w:leader="none" w:pos="220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portions of the Definitive Proxy Statement of Southwest Gas Holdings, Inc. on </w:t>
      </w:r>
      <w:hyperlink r:id="rId91">
        <w:r>
          <w:rPr>
            <w:rFonts w:ascii="Times New Roman" w:cs="Times New Roman" w:eastAsia="Times New Roman" w:hAnsi="Times New Roman"/>
            <w:sz w:val="14"/>
            <w:szCs w:val="14"/>
            <w:u w:val="single" w:color="auto"/>
            <w:color w:val="0000EE"/>
          </w:rPr>
          <w:t>Schedule 14A</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(filed on March 21, 2023) that were specifically incorporated by reference into its Annual Report on </w:t>
      </w:r>
      <w:hyperlink r:id="rId86">
        <w:r>
          <w:rPr>
            <w:rFonts w:ascii="Times New Roman" w:cs="Times New Roman" w:eastAsia="Times New Roman" w:hAnsi="Times New Roman"/>
            <w:sz w:val="14"/>
            <w:szCs w:val="14"/>
            <w:u w:val="single" w:color="auto"/>
            <w:color w:val="0000EE"/>
          </w:rPr>
          <w:t>Form 10-K</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for the fiscal year ended December 31, 2022;</w:t>
      </w:r>
    </w:p>
    <w:p>
      <w:pPr>
        <w:spacing w:after="0" w:line="63" w:lineRule="exact"/>
        <w:rPr>
          <w:rFonts w:ascii="Times New Roman" w:cs="Times New Roman" w:eastAsia="Times New Roman" w:hAnsi="Times New Roman"/>
          <w:sz w:val="14"/>
          <w:szCs w:val="14"/>
          <w:color w:val="auto"/>
        </w:rPr>
      </w:pPr>
    </w:p>
    <w:p>
      <w:pPr>
        <w:ind w:left="2200" w:right="399" w:hanging="338"/>
        <w:spacing w:after="0" w:line="278" w:lineRule="auto"/>
        <w:tabs>
          <w:tab w:leader="none" w:pos="2200" w:val="left"/>
        </w:tabs>
        <w:numPr>
          <w:ilvl w:val="0"/>
          <w:numId w:val="28"/>
        </w:numPr>
        <w:rPr>
          <w:rFonts w:ascii="Times New Roman" w:cs="Times New Roman" w:eastAsia="Times New Roman" w:hAnsi="Times New Roman"/>
          <w:sz w:val="13"/>
          <w:szCs w:val="13"/>
          <w:color w:val="0000EE"/>
        </w:rPr>
      </w:pPr>
      <w:r>
        <w:rPr>
          <w:rFonts w:ascii="Times New Roman" w:cs="Times New Roman" w:eastAsia="Times New Roman" w:hAnsi="Times New Roman"/>
          <w:sz w:val="13"/>
          <w:szCs w:val="13"/>
          <w:color w:val="auto"/>
        </w:rPr>
        <w:t xml:space="preserve">Current Reports of Southwest Gas Holdings, Inc. on Form 8-K/A filed on </w:t>
      </w:r>
      <w:hyperlink r:id="rId92">
        <w:r>
          <w:rPr>
            <w:rFonts w:ascii="Times New Roman" w:cs="Times New Roman" w:eastAsia="Times New Roman" w:hAnsi="Times New Roman"/>
            <w:sz w:val="13"/>
            <w:szCs w:val="13"/>
            <w:u w:val="single" w:color="auto"/>
            <w:color w:val="0000EE"/>
          </w:rPr>
          <w:t>February 21, 2023</w:t>
        </w:r>
        <w:r>
          <w:rPr>
            <w:rFonts w:ascii="Times New Roman" w:cs="Times New Roman" w:eastAsia="Times New Roman" w:hAnsi="Times New Roman"/>
            <w:sz w:val="13"/>
            <w:szCs w:val="13"/>
            <w:u w:val="single" w:color="auto"/>
            <w:color w:val="auto"/>
          </w:rPr>
          <w:t xml:space="preserve"> </w:t>
        </w:r>
      </w:hyperlink>
      <w:r>
        <w:rPr>
          <w:rFonts w:ascii="Times New Roman" w:cs="Times New Roman" w:eastAsia="Times New Roman" w:hAnsi="Times New Roman"/>
          <w:sz w:val="13"/>
          <w:szCs w:val="13"/>
          <w:color w:val="auto"/>
        </w:rPr>
        <w:t xml:space="preserve">and Current Reports of Southwest Gas </w:t>
      </w:r>
      <w:hyperlink r:id="rId93">
        <w:r>
          <w:rPr>
            <w:rFonts w:ascii="Times New Roman" w:cs="Times New Roman" w:eastAsia="Times New Roman" w:hAnsi="Times New Roman"/>
            <w:sz w:val="13"/>
            <w:szCs w:val="13"/>
            <w:color w:val="auto"/>
          </w:rPr>
          <w:t xml:space="preserve">Holdings, Inc. on Form 8-K filed on </w:t>
        </w:r>
        <w:r>
          <w:rPr>
            <w:rFonts w:ascii="Times New Roman" w:cs="Times New Roman" w:eastAsia="Times New Roman" w:hAnsi="Times New Roman"/>
            <w:sz w:val="13"/>
            <w:szCs w:val="13"/>
            <w:u w:val="single" w:color="auto"/>
            <w:color w:val="0000EE"/>
          </w:rPr>
          <w:t>January 13, 2023</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0000EE"/>
          </w:rPr>
          <w:t>January 20, 2023</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0000EE"/>
          </w:rPr>
          <w:t>February 14, 2023 (Item 2.01 only)</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0000EE"/>
          </w:rPr>
          <w:t>March 7, 2023</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0000EE"/>
          </w:rPr>
          <w:t>March 10,</w:t>
        </w:r>
      </w:hyperlink>
      <w:r>
        <w:rPr>
          <w:rFonts w:ascii="Times New Roman" w:cs="Times New Roman" w:eastAsia="Times New Roman" w:hAnsi="Times New Roman"/>
          <w:sz w:val="13"/>
          <w:szCs w:val="13"/>
          <w:color w:val="auto"/>
        </w:rPr>
        <w:t xml:space="preserve"> </w:t>
      </w:r>
      <w:hyperlink r:id="rId93">
        <w:r>
          <w:rPr>
            <w:rFonts w:ascii="Times New Roman" w:cs="Times New Roman" w:eastAsia="Times New Roman" w:hAnsi="Times New Roman"/>
            <w:sz w:val="13"/>
            <w:szCs w:val="13"/>
            <w:u w:val="single" w:color="auto"/>
            <w:color w:val="0000EE"/>
          </w:rPr>
          <w:t>2023</w:t>
        </w:r>
        <w:r>
          <w:rPr>
            <w:rFonts w:ascii="Times New Roman" w:cs="Times New Roman" w:eastAsia="Times New Roman" w:hAnsi="Times New Roman"/>
            <w:sz w:val="13"/>
            <w:szCs w:val="13"/>
            <w:color w:val="000000"/>
          </w:rPr>
          <w:t>,</w:t>
        </w:r>
        <w:r>
          <w:rPr>
            <w:rFonts w:ascii="Times New Roman" w:cs="Times New Roman" w:eastAsia="Times New Roman" w:hAnsi="Times New Roman"/>
            <w:sz w:val="13"/>
            <w:szCs w:val="13"/>
            <w:color w:val="0000EE"/>
          </w:rPr>
          <w:t xml:space="preserve"> </w:t>
        </w:r>
      </w:hyperlink>
      <w:hyperlink r:id="rId94">
        <w:r>
          <w:rPr>
            <w:rFonts w:ascii="Times New Roman" w:cs="Times New Roman" w:eastAsia="Times New Roman" w:hAnsi="Times New Roman"/>
            <w:sz w:val="13"/>
            <w:szCs w:val="13"/>
            <w:u w:val="single" w:color="auto"/>
            <w:color w:val="0000EE"/>
          </w:rPr>
          <w:t>March 23, 2023</w:t>
        </w:r>
      </w:hyperlink>
      <w:hyperlink r:id="rId93">
        <w:r>
          <w:rPr>
            <w:rFonts w:ascii="Times New Roman" w:cs="Times New Roman" w:eastAsia="Times New Roman" w:hAnsi="Times New Roman"/>
            <w:sz w:val="13"/>
            <w:szCs w:val="13"/>
            <w:color w:val="000000"/>
          </w:rPr>
          <w:t>,</w:t>
        </w:r>
        <w:r>
          <w:rPr>
            <w:rFonts w:ascii="Times New Roman" w:cs="Times New Roman" w:eastAsia="Times New Roman" w:hAnsi="Times New Roman"/>
            <w:sz w:val="13"/>
            <w:szCs w:val="13"/>
            <w:color w:val="0000EE"/>
          </w:rPr>
          <w:t xml:space="preserve"> </w:t>
        </w:r>
      </w:hyperlink>
      <w:hyperlink r:id="rId95">
        <w:r>
          <w:rPr>
            <w:rFonts w:ascii="Times New Roman" w:cs="Times New Roman" w:eastAsia="Times New Roman" w:hAnsi="Times New Roman"/>
            <w:sz w:val="13"/>
            <w:szCs w:val="13"/>
            <w:u w:val="single" w:color="auto"/>
            <w:color w:val="0000EE"/>
          </w:rPr>
          <w:t>April 4, 2023</w:t>
        </w:r>
      </w:hyperlink>
      <w:hyperlink r:id="rId93">
        <w:r>
          <w:rPr>
            <w:rFonts w:ascii="Times New Roman" w:cs="Times New Roman" w:eastAsia="Times New Roman" w:hAnsi="Times New Roman"/>
            <w:sz w:val="13"/>
            <w:szCs w:val="13"/>
            <w:color w:val="000000"/>
          </w:rPr>
          <w:t>,</w:t>
        </w:r>
        <w:r>
          <w:rPr>
            <w:rFonts w:ascii="Times New Roman" w:cs="Times New Roman" w:eastAsia="Times New Roman" w:hAnsi="Times New Roman"/>
            <w:sz w:val="13"/>
            <w:szCs w:val="13"/>
            <w:color w:val="0000EE"/>
          </w:rPr>
          <w:t xml:space="preserve"> </w:t>
        </w:r>
      </w:hyperlink>
      <w:hyperlink r:id="rId96">
        <w:r>
          <w:rPr>
            <w:rFonts w:ascii="Times New Roman" w:cs="Times New Roman" w:eastAsia="Times New Roman" w:hAnsi="Times New Roman"/>
            <w:sz w:val="13"/>
            <w:szCs w:val="13"/>
            <w:u w:val="single" w:color="auto"/>
            <w:color w:val="0000EE"/>
          </w:rPr>
          <w:t>April 17, 2023</w:t>
        </w:r>
      </w:hyperlink>
      <w:hyperlink r:id="rId93">
        <w:r>
          <w:rPr>
            <w:rFonts w:ascii="Times New Roman" w:cs="Times New Roman" w:eastAsia="Times New Roman" w:hAnsi="Times New Roman"/>
            <w:sz w:val="13"/>
            <w:szCs w:val="13"/>
            <w:color w:val="000000"/>
          </w:rPr>
          <w:t>,</w:t>
        </w:r>
        <w:r>
          <w:rPr>
            <w:rFonts w:ascii="Times New Roman" w:cs="Times New Roman" w:eastAsia="Times New Roman" w:hAnsi="Times New Roman"/>
            <w:sz w:val="13"/>
            <w:szCs w:val="13"/>
            <w:color w:val="0000EE"/>
          </w:rPr>
          <w:t xml:space="preserve"> </w:t>
        </w:r>
      </w:hyperlink>
      <w:hyperlink r:id="rId97">
        <w:r>
          <w:rPr>
            <w:rFonts w:ascii="Times New Roman" w:cs="Times New Roman" w:eastAsia="Times New Roman" w:hAnsi="Times New Roman"/>
            <w:sz w:val="13"/>
            <w:szCs w:val="13"/>
            <w:u w:val="single" w:color="auto"/>
            <w:color w:val="0000EE"/>
          </w:rPr>
          <w:t>April 28, 2023</w:t>
        </w:r>
      </w:hyperlink>
      <w:hyperlink r:id="rId93">
        <w:r>
          <w:rPr>
            <w:rFonts w:ascii="Times New Roman" w:cs="Times New Roman" w:eastAsia="Times New Roman" w:hAnsi="Times New Roman"/>
            <w:sz w:val="13"/>
            <w:szCs w:val="13"/>
            <w:color w:val="000000"/>
          </w:rPr>
          <w:t>,</w:t>
        </w:r>
        <w:r>
          <w:rPr>
            <w:rFonts w:ascii="Times New Roman" w:cs="Times New Roman" w:eastAsia="Times New Roman" w:hAnsi="Times New Roman"/>
            <w:sz w:val="13"/>
            <w:szCs w:val="13"/>
            <w:color w:val="0000EE"/>
          </w:rPr>
          <w:t xml:space="preserve"> </w:t>
        </w:r>
      </w:hyperlink>
      <w:hyperlink r:id="rId98">
        <w:r>
          <w:rPr>
            <w:rFonts w:ascii="Times New Roman" w:cs="Times New Roman" w:eastAsia="Times New Roman" w:hAnsi="Times New Roman"/>
            <w:sz w:val="13"/>
            <w:szCs w:val="13"/>
            <w:u w:val="single" w:color="auto"/>
            <w:color w:val="0000EE"/>
          </w:rPr>
          <w:t>May 9, 2023 (Item 5.07 only)</w:t>
        </w:r>
      </w:hyperlink>
      <w:hyperlink r:id="rId93">
        <w:r>
          <w:rPr>
            <w:rFonts w:ascii="Times New Roman" w:cs="Times New Roman" w:eastAsia="Times New Roman" w:hAnsi="Times New Roman"/>
            <w:sz w:val="13"/>
            <w:szCs w:val="13"/>
            <w:color w:val="000000"/>
          </w:rPr>
          <w:t>,</w:t>
        </w:r>
        <w:r>
          <w:rPr>
            <w:rFonts w:ascii="Times New Roman" w:cs="Times New Roman" w:eastAsia="Times New Roman" w:hAnsi="Times New Roman"/>
            <w:sz w:val="13"/>
            <w:szCs w:val="13"/>
            <w:color w:val="0000EE"/>
          </w:rPr>
          <w:t xml:space="preserve"> </w:t>
        </w:r>
      </w:hyperlink>
      <w:hyperlink r:id="rId99">
        <w:r>
          <w:rPr>
            <w:rFonts w:ascii="Times New Roman" w:cs="Times New Roman" w:eastAsia="Times New Roman" w:hAnsi="Times New Roman"/>
            <w:sz w:val="13"/>
            <w:szCs w:val="13"/>
            <w:u w:val="single" w:color="auto"/>
            <w:color w:val="0000EE"/>
          </w:rPr>
          <w:t>July 19, 2023</w:t>
        </w:r>
      </w:hyperlink>
      <w:hyperlink r:id="rId93">
        <w:r>
          <w:rPr>
            <w:rFonts w:ascii="Times New Roman" w:cs="Times New Roman" w:eastAsia="Times New Roman" w:hAnsi="Times New Roman"/>
            <w:sz w:val="13"/>
            <w:szCs w:val="13"/>
            <w:color w:val="000000"/>
          </w:rPr>
          <w:t>,</w:t>
        </w:r>
        <w:r>
          <w:rPr>
            <w:rFonts w:ascii="Times New Roman" w:cs="Times New Roman" w:eastAsia="Times New Roman" w:hAnsi="Times New Roman"/>
            <w:sz w:val="13"/>
            <w:szCs w:val="13"/>
            <w:color w:val="0000EE"/>
          </w:rPr>
          <w:t xml:space="preserve"> </w:t>
        </w:r>
      </w:hyperlink>
      <w:hyperlink r:id="rId100">
        <w:r>
          <w:rPr>
            <w:rFonts w:ascii="Times New Roman" w:cs="Times New Roman" w:eastAsia="Times New Roman" w:hAnsi="Times New Roman"/>
            <w:sz w:val="13"/>
            <w:szCs w:val="13"/>
            <w:u w:val="single" w:color="auto"/>
            <w:color w:val="0000EE"/>
          </w:rPr>
          <w:t>October 25, 2023</w:t>
        </w:r>
      </w:hyperlink>
      <w:hyperlink r:id="rId93">
        <w:r>
          <w:rPr>
            <w:rFonts w:ascii="Times New Roman" w:cs="Times New Roman" w:eastAsia="Times New Roman" w:hAnsi="Times New Roman"/>
            <w:sz w:val="13"/>
            <w:szCs w:val="13"/>
            <w:color w:val="000000"/>
          </w:rPr>
          <w:t>,</w:t>
        </w:r>
      </w:hyperlink>
      <w:r>
        <w:rPr>
          <w:rFonts w:ascii="Times New Roman" w:cs="Times New Roman" w:eastAsia="Times New Roman" w:hAnsi="Times New Roman"/>
          <w:sz w:val="13"/>
          <w:szCs w:val="13"/>
          <w:color w:val="0000EE"/>
        </w:rPr>
        <w:t xml:space="preserve"> </w:t>
      </w:r>
      <w:hyperlink r:id="rId101">
        <w:r>
          <w:rPr>
            <w:rFonts w:ascii="Times New Roman" w:cs="Times New Roman" w:eastAsia="Times New Roman" w:hAnsi="Times New Roman"/>
            <w:sz w:val="13"/>
            <w:szCs w:val="13"/>
            <w:u w:val="single" w:color="auto"/>
            <w:color w:val="0000EE"/>
          </w:rPr>
          <w:t>November 6, 2023 (Items 1.01, 3.03 and 5.03 only)</w:t>
        </w:r>
      </w:hyperlink>
      <w:r>
        <w:rPr>
          <w:rFonts w:ascii="Times New Roman" w:cs="Times New Roman" w:eastAsia="Times New Roman" w:hAnsi="Times New Roman"/>
          <w:sz w:val="13"/>
          <w:szCs w:val="13"/>
          <w:color w:val="000000"/>
        </w:rPr>
        <w:t>,</w:t>
      </w:r>
      <w:r>
        <w:rPr>
          <w:rFonts w:ascii="Times New Roman" w:cs="Times New Roman" w:eastAsia="Times New Roman" w:hAnsi="Times New Roman"/>
          <w:sz w:val="13"/>
          <w:szCs w:val="13"/>
          <w:color w:val="0000EE"/>
        </w:rPr>
        <w:t xml:space="preserve"> </w:t>
      </w:r>
      <w:hyperlink r:id="rId102">
        <w:r>
          <w:rPr>
            <w:rFonts w:ascii="Times New Roman" w:cs="Times New Roman" w:eastAsia="Times New Roman" w:hAnsi="Times New Roman"/>
            <w:sz w:val="13"/>
            <w:szCs w:val="13"/>
            <w:u w:val="single" w:color="auto"/>
            <w:color w:val="0000EE"/>
          </w:rPr>
          <w:t>November 15, 2023</w:t>
        </w:r>
      </w:hyperlink>
      <w:r>
        <w:rPr>
          <w:rFonts w:ascii="Times New Roman" w:cs="Times New Roman" w:eastAsia="Times New Roman" w:hAnsi="Times New Roman"/>
          <w:sz w:val="13"/>
          <w:szCs w:val="13"/>
          <w:color w:val="000000"/>
        </w:rPr>
        <w:t>,</w:t>
      </w:r>
      <w:r>
        <w:rPr>
          <w:rFonts w:ascii="Times New Roman" w:cs="Times New Roman" w:eastAsia="Times New Roman" w:hAnsi="Times New Roman"/>
          <w:sz w:val="13"/>
          <w:szCs w:val="13"/>
          <w:color w:val="0000EE"/>
        </w:rPr>
        <w:t xml:space="preserve"> </w:t>
      </w:r>
      <w:hyperlink r:id="rId103">
        <w:r>
          <w:rPr>
            <w:rFonts w:ascii="Times New Roman" w:cs="Times New Roman" w:eastAsia="Times New Roman" w:hAnsi="Times New Roman"/>
            <w:sz w:val="13"/>
            <w:szCs w:val="13"/>
            <w:u w:val="single" w:color="auto"/>
            <w:color w:val="0000EE"/>
          </w:rPr>
          <w:t xml:space="preserve">November 27, 2023 </w:t>
        </w:r>
      </w:hyperlink>
      <w:r>
        <w:rPr>
          <w:rFonts w:ascii="Times New Roman" w:cs="Times New Roman" w:eastAsia="Times New Roman" w:hAnsi="Times New Roman"/>
          <w:sz w:val="13"/>
          <w:szCs w:val="13"/>
          <w:color w:val="000000"/>
        </w:rPr>
        <w:t>and</w:t>
      </w:r>
      <w:r>
        <w:rPr>
          <w:rFonts w:ascii="Times New Roman" w:cs="Times New Roman" w:eastAsia="Times New Roman" w:hAnsi="Times New Roman"/>
          <w:sz w:val="13"/>
          <w:szCs w:val="13"/>
          <w:color w:val="0000EE"/>
        </w:rPr>
        <w:t xml:space="preserve"> </w:t>
      </w:r>
      <w:hyperlink r:id="rId104">
        <w:r>
          <w:rPr>
            <w:rFonts w:ascii="Times New Roman" w:cs="Times New Roman" w:eastAsia="Times New Roman" w:hAnsi="Times New Roman"/>
            <w:sz w:val="13"/>
            <w:szCs w:val="13"/>
            <w:u w:val="single" w:color="auto"/>
            <w:color w:val="0000EE"/>
          </w:rPr>
          <w:t>November 27, 2023 (Item 5.02 only)</w:t>
        </w:r>
      </w:hyperlink>
      <w:r>
        <w:rPr>
          <w:rFonts w:ascii="Times New Roman" w:cs="Times New Roman" w:eastAsia="Times New Roman" w:hAnsi="Times New Roman"/>
          <w:sz w:val="13"/>
          <w:szCs w:val="13"/>
          <w:color w:val="000000"/>
        </w:rPr>
        <w:t>;</w:t>
      </w:r>
    </w:p>
    <w:p>
      <w:pPr>
        <w:spacing w:after="0" w:line="57" w:lineRule="exact"/>
        <w:rPr>
          <w:rFonts w:ascii="Times New Roman" w:cs="Times New Roman" w:eastAsia="Times New Roman" w:hAnsi="Times New Roman"/>
          <w:sz w:val="13"/>
          <w:szCs w:val="13"/>
          <w:color w:val="0000EE"/>
        </w:rPr>
      </w:pPr>
    </w:p>
    <w:p>
      <w:pPr>
        <w:ind w:left="2200" w:right="559" w:hanging="338"/>
        <w:spacing w:after="0" w:line="267" w:lineRule="auto"/>
        <w:tabs>
          <w:tab w:leader="none" w:pos="2200" w:val="left"/>
        </w:tabs>
        <w:numPr>
          <w:ilvl w:val="0"/>
          <w:numId w:val="28"/>
        </w:numPr>
        <w:rPr>
          <w:rFonts w:ascii="Times New Roman" w:cs="Times New Roman" w:eastAsia="Times New Roman" w:hAnsi="Times New Roman"/>
          <w:sz w:val="14"/>
          <w:szCs w:val="14"/>
          <w:color w:val="0000EE"/>
        </w:rPr>
      </w:pPr>
      <w:r>
        <w:rPr>
          <w:rFonts w:ascii="Times New Roman" w:cs="Times New Roman" w:eastAsia="Times New Roman" w:hAnsi="Times New Roman"/>
          <w:sz w:val="14"/>
          <w:szCs w:val="14"/>
          <w:color w:val="auto"/>
        </w:rPr>
        <w:t xml:space="preserve">Current Reports of Southwest Gas Corporation on Form 8-K filed on </w:t>
      </w:r>
      <w:hyperlink r:id="rId105">
        <w:r>
          <w:rPr>
            <w:rFonts w:ascii="Times New Roman" w:cs="Times New Roman" w:eastAsia="Times New Roman" w:hAnsi="Times New Roman"/>
            <w:sz w:val="14"/>
            <w:szCs w:val="14"/>
            <w:u w:val="single" w:color="auto"/>
            <w:color w:val="0000EE"/>
          </w:rPr>
          <w:t>January 20, 2023</w:t>
        </w:r>
      </w:hyperlink>
      <w:r>
        <w:rPr>
          <w:rFonts w:ascii="Times New Roman" w:cs="Times New Roman" w:eastAsia="Times New Roman" w:hAnsi="Times New Roman"/>
          <w:sz w:val="14"/>
          <w:szCs w:val="14"/>
          <w:color w:val="auto"/>
        </w:rPr>
        <w:t xml:space="preserve">, </w:t>
      </w:r>
      <w:hyperlink r:id="rId106">
        <w:r>
          <w:rPr>
            <w:rFonts w:ascii="Times New Roman" w:cs="Times New Roman" w:eastAsia="Times New Roman" w:hAnsi="Times New Roman"/>
            <w:sz w:val="14"/>
            <w:szCs w:val="14"/>
            <w:u w:val="single" w:color="auto"/>
            <w:color w:val="0000EE"/>
          </w:rPr>
          <w:t>March 23, 2023</w:t>
        </w:r>
      </w:hyperlink>
      <w:r>
        <w:rPr>
          <w:rFonts w:ascii="Times New Roman" w:cs="Times New Roman" w:eastAsia="Times New Roman" w:hAnsi="Times New Roman"/>
          <w:sz w:val="14"/>
          <w:szCs w:val="14"/>
          <w:color w:val="auto"/>
        </w:rPr>
        <w:t xml:space="preserve">, </w:t>
      </w:r>
      <w:hyperlink r:id="rId107">
        <w:r>
          <w:rPr>
            <w:rFonts w:ascii="Times New Roman" w:cs="Times New Roman" w:eastAsia="Times New Roman" w:hAnsi="Times New Roman"/>
            <w:sz w:val="14"/>
            <w:szCs w:val="14"/>
            <w:u w:val="single" w:color="auto"/>
            <w:color w:val="0000EE"/>
          </w:rPr>
          <w:t>April 4, 2023</w:t>
        </w:r>
      </w:hyperlink>
      <w:r>
        <w:rPr>
          <w:rFonts w:ascii="Times New Roman" w:cs="Times New Roman" w:eastAsia="Times New Roman" w:hAnsi="Times New Roman"/>
          <w:sz w:val="14"/>
          <w:szCs w:val="14"/>
          <w:color w:val="auto"/>
        </w:rPr>
        <w:t xml:space="preserve">, </w:t>
      </w:r>
      <w:hyperlink r:id="rId108">
        <w:r>
          <w:rPr>
            <w:rFonts w:ascii="Times New Roman" w:cs="Times New Roman" w:eastAsia="Times New Roman" w:hAnsi="Times New Roman"/>
            <w:sz w:val="14"/>
            <w:szCs w:val="14"/>
            <w:u w:val="single" w:color="auto"/>
            <w:color w:val="0000EE"/>
          </w:rPr>
          <w:t>April 17, 2023</w:t>
        </w:r>
      </w:hyperlink>
      <w:r>
        <w:rPr>
          <w:rFonts w:ascii="Times New Roman" w:cs="Times New Roman" w:eastAsia="Times New Roman" w:hAnsi="Times New Roman"/>
          <w:sz w:val="14"/>
          <w:szCs w:val="14"/>
          <w:color w:val="auto"/>
        </w:rPr>
        <w:t xml:space="preserve">, </w:t>
      </w:r>
      <w:hyperlink r:id="rId109">
        <w:r>
          <w:rPr>
            <w:rFonts w:ascii="Times New Roman" w:cs="Times New Roman" w:eastAsia="Times New Roman" w:hAnsi="Times New Roman"/>
            <w:sz w:val="14"/>
            <w:szCs w:val="14"/>
            <w:u w:val="single" w:color="auto"/>
            <w:color w:val="0000EE"/>
          </w:rPr>
          <w:t>April 28, 2023</w:t>
        </w:r>
        <w:r>
          <w:rPr>
            <w:rFonts w:ascii="Times New Roman" w:cs="Times New Roman" w:eastAsia="Times New Roman" w:hAnsi="Times New Roman"/>
            <w:sz w:val="14"/>
            <w:szCs w:val="14"/>
            <w:color w:val="0000EE"/>
          </w:rPr>
          <w:t xml:space="preserve"> </w:t>
        </w:r>
      </w:hyperlink>
      <w:r>
        <w:rPr>
          <w:rFonts w:ascii="Times New Roman" w:cs="Times New Roman" w:eastAsia="Times New Roman" w:hAnsi="Times New Roman"/>
          <w:sz w:val="14"/>
          <w:szCs w:val="14"/>
          <w:color w:val="000000"/>
        </w:rPr>
        <w:t>and</w:t>
      </w:r>
      <w:r>
        <w:rPr>
          <w:rFonts w:ascii="Times New Roman" w:cs="Times New Roman" w:eastAsia="Times New Roman" w:hAnsi="Times New Roman"/>
          <w:sz w:val="14"/>
          <w:szCs w:val="14"/>
          <w:color w:val="0000EE"/>
        </w:rPr>
        <w:t xml:space="preserve"> </w:t>
      </w:r>
      <w:hyperlink r:id="rId110">
        <w:r>
          <w:rPr>
            <w:rFonts w:ascii="Times New Roman" w:cs="Times New Roman" w:eastAsia="Times New Roman" w:hAnsi="Times New Roman"/>
            <w:sz w:val="14"/>
            <w:szCs w:val="14"/>
            <w:u w:val="single" w:color="auto"/>
            <w:color w:val="0000EE"/>
          </w:rPr>
          <w:t>July 19, 2023</w:t>
        </w:r>
      </w:hyperlink>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and</w:t>
      </w:r>
    </w:p>
    <w:p>
      <w:pPr>
        <w:spacing w:after="0" w:line="63" w:lineRule="exact"/>
        <w:rPr>
          <w:rFonts w:ascii="Times New Roman" w:cs="Times New Roman" w:eastAsia="Times New Roman" w:hAnsi="Times New Roman"/>
          <w:sz w:val="14"/>
          <w:szCs w:val="14"/>
          <w:color w:val="0000EE"/>
        </w:rPr>
      </w:pPr>
    </w:p>
    <w:p>
      <w:pPr>
        <w:ind w:left="2200" w:right="639" w:hanging="338"/>
        <w:spacing w:after="0" w:line="267" w:lineRule="auto"/>
        <w:tabs>
          <w:tab w:leader="none" w:pos="220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future filings that we make with the SEC under Sections 13(a), 13(c), 14 or 15(d) of the Exchange Act on or after the date of this prospectus until the termination of the offering of the securities.</w:t>
      </w:r>
    </w:p>
    <w:p>
      <w:pPr>
        <w:spacing w:after="0" w:line="135" w:lineRule="exact"/>
        <w:rPr>
          <w:rFonts w:ascii="Times New Roman" w:cs="Times New Roman" w:eastAsia="Times New Roman" w:hAnsi="Times New Roman"/>
          <w:sz w:val="14"/>
          <w:szCs w:val="14"/>
          <w:color w:val="auto"/>
        </w:rPr>
      </w:pPr>
    </w:p>
    <w:p>
      <w:pPr>
        <w:jc w:val="both"/>
        <w:ind w:left="1460" w:right="379" w:firstLine="335"/>
        <w:spacing w:after="0" w:line="256" w:lineRule="auto"/>
        <w:rPr>
          <w:sz w:val="20"/>
          <w:szCs w:val="20"/>
          <w:color w:val="auto"/>
        </w:rPr>
      </w:pPr>
      <w:r>
        <w:rPr>
          <w:rFonts w:ascii="Times New Roman" w:cs="Times New Roman" w:eastAsia="Times New Roman" w:hAnsi="Times New Roman"/>
          <w:sz w:val="14"/>
          <w:szCs w:val="14"/>
          <w:color w:val="auto"/>
        </w:rPr>
        <w:t>You may obtain a copy of any or all of the documents referred to above which have been or may be incorporated by reference into this prospectus (excluding certain exhibits unless they are specifically incorporated by reference in any such documents) at no cost to you by writing or telephoning us at the following:</w:t>
      </w:r>
    </w:p>
    <w:p>
      <w:pPr>
        <w:spacing w:after="0" w:line="139" w:lineRule="exact"/>
        <w:rPr>
          <w:rFonts w:ascii="Times New Roman" w:cs="Times New Roman" w:eastAsia="Times New Roman" w:hAnsi="Times New Roman"/>
          <w:sz w:val="14"/>
          <w:szCs w:val="14"/>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Southwest Gas Holdings, Inc.</w:t>
      </w:r>
    </w:p>
    <w:p>
      <w:pPr>
        <w:spacing w:after="0" w:line="19" w:lineRule="exact"/>
        <w:rPr>
          <w:rFonts w:ascii="Times New Roman" w:cs="Times New Roman" w:eastAsia="Times New Roman" w:hAnsi="Times New Roman"/>
          <w:sz w:val="14"/>
          <w:szCs w:val="14"/>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8360 S. Durango Drive</w:t>
      </w:r>
    </w:p>
    <w:p>
      <w:pPr>
        <w:spacing w:after="0" w:line="3" w:lineRule="exact"/>
        <w:rPr>
          <w:rFonts w:ascii="Times New Roman" w:cs="Times New Roman" w:eastAsia="Times New Roman" w:hAnsi="Times New Roman"/>
          <w:sz w:val="14"/>
          <w:szCs w:val="14"/>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P.O. Box 98510</w:t>
      </w:r>
    </w:p>
    <w:p>
      <w:pPr>
        <w:spacing w:after="0" w:line="3" w:lineRule="exact"/>
        <w:rPr>
          <w:rFonts w:ascii="Times New Roman" w:cs="Times New Roman" w:eastAsia="Times New Roman" w:hAnsi="Times New Roman"/>
          <w:sz w:val="14"/>
          <w:szCs w:val="14"/>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Las Vegas, Nevada 89193-8510</w:t>
      </w:r>
    </w:p>
    <w:p>
      <w:pPr>
        <w:spacing w:after="0" w:line="3" w:lineRule="exact"/>
        <w:rPr>
          <w:rFonts w:ascii="Times New Roman" w:cs="Times New Roman" w:eastAsia="Times New Roman" w:hAnsi="Times New Roman"/>
          <w:sz w:val="14"/>
          <w:szCs w:val="14"/>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Attention: Corporate Secretary</w:t>
      </w:r>
    </w:p>
    <w:p>
      <w:pPr>
        <w:spacing w:after="0" w:line="3" w:lineRule="exact"/>
        <w:rPr>
          <w:rFonts w:ascii="Times New Roman" w:cs="Times New Roman" w:eastAsia="Times New Roman" w:hAnsi="Times New Roman"/>
          <w:sz w:val="14"/>
          <w:szCs w:val="14"/>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Telephone: (702) 876-7237</w:t>
      </w:r>
    </w:p>
    <w:p>
      <w:pPr>
        <w:spacing w:after="0" w:line="105" w:lineRule="exact"/>
        <w:rPr>
          <w:rFonts w:ascii="Times New Roman" w:cs="Times New Roman" w:eastAsia="Times New Roman" w:hAnsi="Times New Roman"/>
          <w:sz w:val="14"/>
          <w:szCs w:val="14"/>
          <w:color w:val="auto"/>
        </w:rPr>
      </w:pPr>
    </w:p>
    <w:p>
      <w:pPr>
        <w:ind w:left="5580"/>
        <w:spacing w:after="0"/>
        <w:rPr>
          <w:sz w:val="20"/>
          <w:szCs w:val="20"/>
          <w:color w:val="auto"/>
        </w:rPr>
      </w:pPr>
      <w:r>
        <w:rPr>
          <w:rFonts w:ascii="Times New Roman" w:cs="Times New Roman" w:eastAsia="Times New Roman" w:hAnsi="Times New Roman"/>
          <w:sz w:val="14"/>
          <w:szCs w:val="14"/>
          <w:color w:val="auto"/>
        </w:rPr>
        <w:t>27</w:t>
      </w:r>
    </w:p>
    <w:p>
      <w:pPr>
        <w:sectPr>
          <w:pgSz w:w="11900" w:h="16838" w:orient="portrait"/>
          <w:cols w:equalWidth="0" w:num="1">
            <w:col w:w="10159"/>
          </w:cols>
          <w:pgMar w:left="300" w:top="380" w:right="1440"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11">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4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172" w:lineRule="exact"/>
        <w:rPr>
          <w:sz w:val="20"/>
          <w:szCs w:val="20"/>
          <w:color w:val="auto"/>
        </w:rPr>
      </w:pPr>
    </w:p>
    <w:p>
      <w:pPr>
        <w:ind w:left="1460" w:right="579" w:firstLine="335"/>
        <w:spacing w:after="0" w:line="278" w:lineRule="auto"/>
        <w:rPr>
          <w:sz w:val="20"/>
          <w:szCs w:val="20"/>
          <w:color w:val="auto"/>
        </w:rPr>
      </w:pPr>
      <w:r>
        <w:rPr>
          <w:rFonts w:ascii="Times New Roman" w:cs="Times New Roman" w:eastAsia="Times New Roman" w:hAnsi="Times New Roman"/>
          <w:sz w:val="13"/>
          <w:szCs w:val="13"/>
          <w:color w:val="auto"/>
        </w:rPr>
        <w:t>The financial statements and management’s assessment of the effectiveness of internal control over financial reporting (which is included in Management’s Report on Internal Control over Financial Reporting) incorporated in this Prospectus by reference to Southwest Gas Holdings, Inc.’s Annual Report on Form 10-K for the year ended December 31, 2022 have been so incorporated in reliance on the report of PricewaterhouseCoopers LLP, an independent registered public accounting firm, given on the authority of said firm as experts in auditing and accounting.</w:t>
      </w:r>
    </w:p>
    <w:p>
      <w:pPr>
        <w:spacing w:after="0" w:line="129" w:lineRule="exact"/>
        <w:rPr>
          <w:sz w:val="20"/>
          <w:szCs w:val="20"/>
          <w:color w:val="auto"/>
        </w:rPr>
      </w:pPr>
    </w:p>
    <w:p>
      <w:pPr>
        <w:ind w:left="1460" w:right="479" w:firstLine="335"/>
        <w:spacing w:after="0" w:line="256" w:lineRule="auto"/>
        <w:rPr>
          <w:sz w:val="20"/>
          <w:szCs w:val="20"/>
          <w:color w:val="auto"/>
        </w:rPr>
      </w:pPr>
      <w:r>
        <w:rPr>
          <w:rFonts w:ascii="Times New Roman" w:cs="Times New Roman" w:eastAsia="Times New Roman" w:hAnsi="Times New Roman"/>
          <w:sz w:val="14"/>
          <w:szCs w:val="14"/>
          <w:color w:val="auto"/>
        </w:rPr>
        <w:t>The financial statements incorporated in this Prospectus by reference to Southwest Gas Corporation’s Annual Report on Form 10-K for the year ended December 31, 2022 have been so incorporated in reliance on the report of PricewaterhouseCoopers LLP, an independent registered public accounting firm, given on the authority of said firm as experts in auditing and accounting.</w:t>
      </w:r>
    </w:p>
    <w:p>
      <w:pPr>
        <w:spacing w:after="0" w:line="303"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4"/>
          <w:szCs w:val="14"/>
          <w:b w:val="1"/>
          <w:bCs w:val="1"/>
          <w:color w:val="auto"/>
        </w:rPr>
        <w:t>LEGAL MATTERS</w:t>
      </w:r>
    </w:p>
    <w:p>
      <w:pPr>
        <w:spacing w:after="0" w:line="172"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4"/>
          <w:szCs w:val="14"/>
          <w:color w:val="auto"/>
        </w:rPr>
        <w:t>The validity of the securities to be sold hereunder will be passed upon for us by Morrison &amp; Foerster LLP.</w:t>
      </w:r>
    </w:p>
    <w:p>
      <w:pPr>
        <w:spacing w:after="0" w:line="11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28</w:t>
      </w:r>
    </w:p>
    <w:p>
      <w:pPr>
        <w:sectPr>
          <w:pgSz w:w="11900" w:h="16838" w:orient="portrait"/>
          <w:cols w:equalWidth="0" w:num="1">
            <w:col w:w="10159"/>
          </w:cols>
          <w:pgMar w:left="300" w:top="380" w:right="1440"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12">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921385</wp:posOffset>
            </wp:positionH>
            <wp:positionV relativeFrom="paragraph">
              <wp:posOffset>189865</wp:posOffset>
            </wp:positionV>
            <wp:extent cx="5325110" cy="133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13">
                      <a:extLst>
                        <a:ext uri="{28A0092B-C50C-407E-A947-70E740481C1C}"/>
                      </a:extLst>
                    </a:blip>
                    <a:srcRect/>
                    <a:stretch>
                      <a:fillRect/>
                    </a:stretch>
                  </pic:blipFill>
                  <pic:spPr bwMode="auto">
                    <a:xfrm>
                      <a:off x="0" y="0"/>
                      <a:ext cx="5325110" cy="13335"/>
                    </a:xfrm>
                    <a:prstGeom prst="rect">
                      <a:avLst/>
                    </a:prstGeom>
                    <a:noFill/>
                  </pic:spPr>
                </pic:pic>
              </a:graphicData>
            </a:graphic>
          </wp:anchor>
        </w:drawing>
        <w:drawing>
          <wp:anchor simplePos="0" relativeHeight="251657728" behindDoc="1" locked="0" layoutInCell="0" allowOverlap="1">
            <wp:simplePos x="0" y="0"/>
            <wp:positionH relativeFrom="column">
              <wp:posOffset>921385</wp:posOffset>
            </wp:positionH>
            <wp:positionV relativeFrom="paragraph">
              <wp:posOffset>229235</wp:posOffset>
            </wp:positionV>
            <wp:extent cx="5325110" cy="63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14">
                      <a:extLst>
                        <a:ext uri="{28A0092B-C50C-407E-A947-70E740481C1C}"/>
                      </a:extLst>
                    </a:blip>
                    <a:srcRect/>
                    <a:stretch>
                      <a:fillRect/>
                    </a:stretch>
                  </pic:blipFill>
                  <pic:spPr bwMode="auto">
                    <a:xfrm>
                      <a:off x="0" y="0"/>
                      <a:ext cx="5325110" cy="6350"/>
                    </a:xfrm>
                    <a:prstGeom prst="rect">
                      <a:avLst/>
                    </a:prstGeom>
                    <a:noFill/>
                  </pic:spPr>
                </pic:pic>
              </a:graphicData>
            </a:graphic>
          </wp:anchor>
        </w:drawing>
        <w:drawing>
          <wp:anchor simplePos="0" relativeHeight="251657728" behindDoc="1" locked="0" layoutInCell="0" allowOverlap="1">
            <wp:simplePos x="0" y="0"/>
            <wp:positionH relativeFrom="column">
              <wp:posOffset>2872740</wp:posOffset>
            </wp:positionH>
            <wp:positionV relativeFrom="paragraph">
              <wp:posOffset>496570</wp:posOffset>
            </wp:positionV>
            <wp:extent cx="1422400" cy="75057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15">
                      <a:extLst>
                        <a:ext uri="{28A0092B-C50C-407E-A947-70E740481C1C}"/>
                      </a:extLst>
                    </a:blip>
                    <a:srcRect/>
                    <a:stretch>
                      <a:fillRect/>
                    </a:stretch>
                  </pic:blipFill>
                  <pic:spPr bwMode="auto">
                    <a:xfrm>
                      <a:off x="0" y="0"/>
                      <a:ext cx="1422400" cy="750570"/>
                    </a:xfrm>
                    <a:prstGeom prst="rect">
                      <a:avLst/>
                    </a:prstGeom>
                    <a:noFill/>
                  </pic:spPr>
                </pic:pic>
              </a:graphicData>
            </a:graphic>
          </wp:anchor>
        </w:drawing>
      </w:r>
    </w:p>
    <w:p>
      <w:pPr>
        <w:sectPr>
          <w:pgSz w:w="11900" w:h="16838" w:orient="portrait"/>
          <w:cols w:equalWidth="0" w:num="1">
            <w:col w:w="10159"/>
          </w:cols>
          <w:pgMar w:left="300" w:top="38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6,032,604 shares of Common Stock</w:t>
      </w:r>
    </w:p>
    <w:p>
      <w:pPr>
        <w:spacing w:after="0" w:line="17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Offered by Certain Selling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3022600</wp:posOffset>
            </wp:positionH>
            <wp:positionV relativeFrom="paragraph">
              <wp:posOffset>311150</wp:posOffset>
            </wp:positionV>
            <wp:extent cx="1122680" cy="63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16">
                      <a:extLst>
                        <a:ext uri="{28A0092B-C50C-407E-A947-70E740481C1C}"/>
                      </a:extLst>
                    </a:blip>
                    <a:srcRect/>
                    <a:stretch>
                      <a:fillRect/>
                    </a:stretch>
                  </pic:blipFill>
                  <pic:spPr bwMode="auto">
                    <a:xfrm>
                      <a:off x="0" y="0"/>
                      <a:ext cx="112268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6"/>
          <w:szCs w:val="16"/>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3022600</wp:posOffset>
            </wp:positionH>
            <wp:positionV relativeFrom="paragraph">
              <wp:posOffset>192405</wp:posOffset>
            </wp:positionV>
            <wp:extent cx="1122680" cy="63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17">
                      <a:extLst>
                        <a:ext uri="{28A0092B-C50C-407E-A947-70E740481C1C}"/>
                      </a:extLst>
                    </a:blip>
                    <a:srcRect/>
                    <a:stretch>
                      <a:fillRect/>
                    </a:stretch>
                  </pic:blipFill>
                  <pic:spPr bwMode="auto">
                    <a:xfrm>
                      <a:off x="0" y="0"/>
                      <a:ext cx="112268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3"/>
          <w:szCs w:val="13"/>
          <w:b w:val="1"/>
          <w:bCs w:val="1"/>
          <w:color w:val="auto"/>
        </w:rPr>
        <w:t>The date of this prospectus supplement is November 26,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921385</wp:posOffset>
            </wp:positionH>
            <wp:positionV relativeFrom="paragraph">
              <wp:posOffset>333375</wp:posOffset>
            </wp:positionV>
            <wp:extent cx="5325110" cy="63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18">
                      <a:extLst>
                        <a:ext uri="{28A0092B-C50C-407E-A947-70E740481C1C}"/>
                      </a:extLst>
                    </a:blip>
                    <a:srcRect/>
                    <a:stretch>
                      <a:fillRect/>
                    </a:stretch>
                  </pic:blipFill>
                  <pic:spPr bwMode="auto">
                    <a:xfrm>
                      <a:off x="0" y="0"/>
                      <a:ext cx="5325110" cy="6350"/>
                    </a:xfrm>
                    <a:prstGeom prst="rect">
                      <a:avLst/>
                    </a:prstGeom>
                    <a:noFill/>
                  </pic:spPr>
                </pic:pic>
              </a:graphicData>
            </a:graphic>
          </wp:anchor>
        </w:drawing>
        <w:drawing>
          <wp:anchor simplePos="0" relativeHeight="251657728" behindDoc="1" locked="0" layoutInCell="0" allowOverlap="1">
            <wp:simplePos x="0" y="0"/>
            <wp:positionH relativeFrom="column">
              <wp:posOffset>921385</wp:posOffset>
            </wp:positionH>
            <wp:positionV relativeFrom="paragraph">
              <wp:posOffset>385445</wp:posOffset>
            </wp:positionV>
            <wp:extent cx="5325110" cy="133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19">
                      <a:extLst>
                        <a:ext uri="{28A0092B-C50C-407E-A947-70E740481C1C}"/>
                      </a:extLst>
                    </a:blip>
                    <a:srcRect/>
                    <a:stretch>
                      <a:fillRect/>
                    </a:stretch>
                  </pic:blipFill>
                  <pic:spPr bwMode="auto">
                    <a:xfrm>
                      <a:off x="0" y="0"/>
                      <a:ext cx="5325110" cy="13335"/>
                    </a:xfrm>
                    <a:prstGeom prst="rect">
                      <a:avLst/>
                    </a:prstGeom>
                    <a:noFill/>
                  </pic:spPr>
                </pic:pic>
              </a:graphicData>
            </a:graphic>
          </wp:anchor>
        </w:drawing>
      </w:r>
    </w:p>
    <w:p>
      <w:pPr>
        <w:sectPr>
          <w:pgSz w:w="11900" w:h="16838" w:orient="portrait"/>
          <w:cols w:equalWidth="0" w:num="1">
            <w:col w:w="10159"/>
          </w:cols>
          <w:pgMar w:left="300" w:top="380" w:right="1440" w:bottom="1440" w:gutter="0" w:footer="0" w:header="0"/>
          <w:type w:val="continuous"/>
        </w:sectPr>
      </w:pPr>
    </w:p>
    <w:bookmarkStart w:id="51" w:name="page52"/>
    <w:bookmarkEnd w:id="51"/>
    <w:p>
      <w:pPr>
        <w:ind w:left="3540"/>
        <w:spacing w:after="0"/>
        <w:rPr>
          <w:sz w:val="20"/>
          <w:szCs w:val="20"/>
          <w:color w:val="auto"/>
        </w:rPr>
      </w:pPr>
      <w:r>
        <w:rPr>
          <w:rFonts w:ascii="Arial" w:cs="Arial" w:eastAsia="Arial" w:hAnsi="Arial"/>
          <w:sz w:val="27"/>
          <w:szCs w:val="27"/>
          <w:b w:val="1"/>
          <w:bCs w:val="1"/>
          <w:color w:val="auto"/>
        </w:rPr>
        <w:t>Calculation of Filing Fee Tables</w:t>
      </w:r>
    </w:p>
    <w:p>
      <w:pPr>
        <w:spacing w:after="0" w:line="173" w:lineRule="exact"/>
        <w:rPr>
          <w:sz w:val="20"/>
          <w:szCs w:val="20"/>
          <w:color w:val="auto"/>
        </w:rPr>
      </w:pPr>
    </w:p>
    <w:p>
      <w:pPr>
        <w:ind w:left="5360"/>
        <w:spacing w:after="0"/>
        <w:rPr>
          <w:sz w:val="20"/>
          <w:szCs w:val="20"/>
          <w:color w:val="auto"/>
        </w:rPr>
      </w:pPr>
      <w:r>
        <w:rPr>
          <w:rFonts w:ascii="Arial" w:cs="Arial" w:eastAsia="Arial" w:hAnsi="Arial"/>
          <w:sz w:val="27"/>
          <w:szCs w:val="27"/>
          <w:b w:val="1"/>
          <w:bCs w:val="1"/>
          <w:color w:val="auto"/>
        </w:rPr>
        <w:t>S-3</w:t>
      </w:r>
    </w:p>
    <w:p>
      <w:pPr>
        <w:spacing w:after="0" w:line="101" w:lineRule="exact"/>
        <w:rPr>
          <w:sz w:val="20"/>
          <w:szCs w:val="20"/>
          <w:color w:val="auto"/>
        </w:rPr>
      </w:pPr>
    </w:p>
    <w:p>
      <w:pPr>
        <w:jc w:val="center"/>
        <w:ind w:right="200"/>
        <w:spacing w:after="0"/>
        <w:rPr>
          <w:sz w:val="20"/>
          <w:szCs w:val="20"/>
          <w:color w:val="auto"/>
        </w:rPr>
      </w:pPr>
      <w:r>
        <w:rPr>
          <w:rFonts w:ascii="Arial" w:cs="Arial" w:eastAsia="Arial" w:hAnsi="Arial"/>
          <w:sz w:val="27"/>
          <w:szCs w:val="27"/>
          <w:b w:val="1"/>
          <w:bCs w:val="1"/>
          <w:color w:val="auto"/>
        </w:rPr>
        <w:t>Southwest Gas Holdings, Inc.</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68"/>
        </w:trPr>
        <w:tc>
          <w:tcPr>
            <w:tcW w:w="4440" w:type="dxa"/>
            <w:vAlign w:val="bottom"/>
            <w:tcBorders>
              <w:bottom w:val="single" w:sz="8" w:color="auto"/>
            </w:tcBorders>
            <w:gridSpan w:val="12"/>
          </w:tcPr>
          <w:p>
            <w:pPr>
              <w:ind w:left="40"/>
              <w:spacing w:after="0"/>
              <w:rPr>
                <w:sz w:val="20"/>
                <w:szCs w:val="20"/>
                <w:color w:val="auto"/>
              </w:rPr>
            </w:pPr>
            <w:r>
              <w:rPr>
                <w:rFonts w:ascii="Arial" w:cs="Arial" w:eastAsia="Arial" w:hAnsi="Arial"/>
                <w:sz w:val="16"/>
                <w:szCs w:val="16"/>
                <w:b w:val="1"/>
                <w:bCs w:val="1"/>
                <w:color w:val="auto"/>
              </w:rPr>
              <w:t>Table 1: Newly Registered and Carry Forward Securities</w:t>
            </w:r>
          </w:p>
        </w:tc>
        <w:tc>
          <w:tcPr>
            <w:tcW w:w="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680" w:type="dxa"/>
            <w:vAlign w:val="bottom"/>
            <w:tcBorders>
              <w:bottom w:val="single" w:sz="8" w:color="auto"/>
            </w:tcBorders>
            <w:gridSpan w:val="4"/>
          </w:tcPr>
          <w:p>
            <w:pPr>
              <w:ind w:left="280"/>
              <w:spacing w:after="0" w:line="184" w:lineRule="exact"/>
              <w:rPr>
                <w:sz w:val="20"/>
                <w:szCs w:val="20"/>
                <w:color w:val="auto"/>
              </w:rPr>
            </w:pPr>
            <w:r>
              <w:rPr>
                <w:rFonts w:ascii="MS PGothic" w:cs="MS PGothic" w:eastAsia="MS PGothic" w:hAnsi="MS PGothic"/>
                <w:sz w:val="16"/>
                <w:szCs w:val="16"/>
                <w:color w:val="auto"/>
                <w:highlight w:val="black"/>
              </w:rPr>
              <w:t>☐</w:t>
            </w:r>
            <w:r>
              <w:rPr>
                <w:rFonts w:ascii="Arial" w:cs="Arial" w:eastAsia="Arial" w:hAnsi="Arial"/>
                <w:sz w:val="16"/>
                <w:szCs w:val="16"/>
                <w:b w:val="1"/>
                <w:bCs w:val="1"/>
                <w:color w:val="auto"/>
              </w:rPr>
              <w:t>Not Applicable</w:t>
            </w: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Filing Fee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Previously</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Fee</w:t>
            </w: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Proposed</w:t>
            </w:r>
          </w:p>
        </w:tc>
        <w:tc>
          <w:tcPr>
            <w:tcW w:w="20" w:type="dxa"/>
            <w:vAlign w:val="bottom"/>
          </w:tcPr>
          <w:p>
            <w:pPr>
              <w:spacing w:after="0"/>
              <w:rPr>
                <w:sz w:val="16"/>
                <w:szCs w:val="16"/>
                <w:color w:val="auto"/>
              </w:rPr>
            </w:pPr>
          </w:p>
        </w:tc>
        <w:tc>
          <w:tcPr>
            <w:tcW w:w="11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Carry</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Paid in</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7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Maximum</w:t>
            </w:r>
          </w:p>
        </w:tc>
        <w:tc>
          <w:tcPr>
            <w:tcW w:w="20" w:type="dxa"/>
            <w:vAlign w:val="bottom"/>
          </w:tcPr>
          <w:p>
            <w:pPr>
              <w:spacing w:after="0"/>
              <w:rPr>
                <w:sz w:val="14"/>
                <w:szCs w:val="14"/>
                <w:color w:val="auto"/>
              </w:rPr>
            </w:pPr>
          </w:p>
        </w:tc>
        <w:tc>
          <w:tcPr>
            <w:tcW w:w="8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Amount of</w:t>
            </w:r>
          </w:p>
        </w:tc>
        <w:tc>
          <w:tcPr>
            <w:tcW w:w="20" w:type="dxa"/>
            <w:vAlign w:val="bottom"/>
          </w:tcPr>
          <w:p>
            <w:pPr>
              <w:spacing w:after="0"/>
              <w:rPr>
                <w:sz w:val="14"/>
                <w:szCs w:val="14"/>
                <w:color w:val="auto"/>
              </w:rPr>
            </w:pPr>
          </w:p>
        </w:tc>
        <w:tc>
          <w:tcPr>
            <w:tcW w:w="680" w:type="dxa"/>
            <w:vAlign w:val="bottom"/>
            <w:shd w:val="clear" w:color="auto" w:fill="9ADAF6"/>
          </w:tcPr>
          <w:p>
            <w:pPr>
              <w:jc w:val="center"/>
              <w:spacing w:after="0" w:line="165" w:lineRule="exact"/>
              <w:rPr>
                <w:sz w:val="20"/>
                <w:szCs w:val="20"/>
                <w:color w:val="auto"/>
              </w:rPr>
            </w:pPr>
            <w:r>
              <w:rPr>
                <w:rFonts w:ascii="Arial" w:cs="Arial" w:eastAsia="Arial" w:hAnsi="Arial"/>
                <w:sz w:val="16"/>
                <w:szCs w:val="16"/>
                <w:b w:val="1"/>
                <w:bCs w:val="1"/>
                <w:color w:val="auto"/>
              </w:rPr>
              <w:t>Carry</w:t>
            </w:r>
          </w:p>
        </w:tc>
        <w:tc>
          <w:tcPr>
            <w:tcW w:w="20" w:type="dxa"/>
            <w:vAlign w:val="bottom"/>
          </w:tcPr>
          <w:p>
            <w:pPr>
              <w:spacing w:after="0"/>
              <w:rPr>
                <w:sz w:val="14"/>
                <w:szCs w:val="14"/>
                <w:color w:val="auto"/>
              </w:rPr>
            </w:pPr>
          </w:p>
        </w:tc>
        <w:tc>
          <w:tcPr>
            <w:tcW w:w="680" w:type="dxa"/>
            <w:vAlign w:val="bottom"/>
            <w:shd w:val="clear" w:color="auto" w:fill="9ADAF6"/>
          </w:tcPr>
          <w:p>
            <w:pPr>
              <w:jc w:val="center"/>
              <w:spacing w:after="0" w:line="165" w:lineRule="exact"/>
              <w:rPr>
                <w:sz w:val="20"/>
                <w:szCs w:val="20"/>
                <w:color w:val="auto"/>
              </w:rPr>
            </w:pPr>
            <w:r>
              <w:rPr>
                <w:rFonts w:ascii="Arial" w:cs="Arial" w:eastAsia="Arial" w:hAnsi="Arial"/>
                <w:sz w:val="16"/>
                <w:szCs w:val="16"/>
                <w:b w:val="1"/>
                <w:bCs w:val="1"/>
                <w:color w:val="auto"/>
              </w:rPr>
              <w:t>Carry</w:t>
            </w:r>
          </w:p>
        </w:tc>
        <w:tc>
          <w:tcPr>
            <w:tcW w:w="20" w:type="dxa"/>
            <w:vAlign w:val="bottom"/>
          </w:tcPr>
          <w:p>
            <w:pPr>
              <w:spacing w:after="0"/>
              <w:rPr>
                <w:sz w:val="14"/>
                <w:szCs w:val="14"/>
                <w:color w:val="auto"/>
              </w:rPr>
            </w:pPr>
          </w:p>
        </w:tc>
        <w:tc>
          <w:tcPr>
            <w:tcW w:w="7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shd w:val="clear" w:color="auto" w:fill="9ADAF6"/>
          </w:tcPr>
          <w:p>
            <w:pPr>
              <w:jc w:val="center"/>
              <w:spacing w:after="0" w:line="165" w:lineRule="exact"/>
              <w:rPr>
                <w:sz w:val="20"/>
                <w:szCs w:val="20"/>
                <w:color w:val="auto"/>
              </w:rPr>
            </w:pPr>
            <w:r>
              <w:rPr>
                <w:rFonts w:ascii="Arial" w:cs="Arial" w:eastAsia="Arial" w:hAnsi="Arial"/>
                <w:sz w:val="16"/>
                <w:szCs w:val="16"/>
                <w:b w:val="1"/>
                <w:bCs w:val="1"/>
                <w:color w:val="auto"/>
              </w:rPr>
              <w:t>Connection</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40" w:type="dxa"/>
            <w:vAlign w:val="bottom"/>
          </w:tcPr>
          <w:p>
            <w:pPr>
              <w:spacing w:after="0"/>
              <w:rPr>
                <w:sz w:val="9"/>
                <w:szCs w:val="9"/>
                <w:color w:val="auto"/>
              </w:rPr>
            </w:pPr>
          </w:p>
        </w:tc>
        <w:tc>
          <w:tcPr>
            <w:tcW w:w="78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Security</w:t>
            </w:r>
          </w:p>
        </w:tc>
        <w:tc>
          <w:tcPr>
            <w:tcW w:w="20" w:type="dxa"/>
            <w:vAlign w:val="bottom"/>
          </w:tcPr>
          <w:p>
            <w:pPr>
              <w:spacing w:after="0"/>
              <w:rPr>
                <w:sz w:val="9"/>
                <w:szCs w:val="9"/>
                <w:color w:val="auto"/>
              </w:rPr>
            </w:pPr>
          </w:p>
        </w:tc>
        <w:tc>
          <w:tcPr>
            <w:tcW w:w="960" w:type="dxa"/>
            <w:vAlign w:val="bottom"/>
            <w:vMerge w:val="restart"/>
            <w:shd w:val="clear" w:color="auto" w:fill="9ADAF6"/>
          </w:tcPr>
          <w:p>
            <w:pPr>
              <w:ind w:left="160"/>
              <w:spacing w:after="0"/>
              <w:rPr>
                <w:sz w:val="20"/>
                <w:szCs w:val="20"/>
                <w:color w:val="auto"/>
              </w:rPr>
            </w:pPr>
            <w:r>
              <w:rPr>
                <w:rFonts w:ascii="Arial" w:cs="Arial" w:eastAsia="Arial" w:hAnsi="Arial"/>
                <w:sz w:val="16"/>
                <w:szCs w:val="16"/>
                <w:b w:val="1"/>
                <w:bCs w:val="1"/>
                <w:color w:val="auto"/>
              </w:rPr>
              <w:t>Security</w:t>
            </w:r>
          </w:p>
        </w:tc>
        <w:tc>
          <w:tcPr>
            <w:tcW w:w="20" w:type="dxa"/>
            <w:vAlign w:val="bottom"/>
          </w:tcPr>
          <w:p>
            <w:pPr>
              <w:spacing w:after="0"/>
              <w:rPr>
                <w:sz w:val="9"/>
                <w:szCs w:val="9"/>
                <w:color w:val="auto"/>
              </w:rPr>
            </w:pPr>
          </w:p>
        </w:tc>
        <w:tc>
          <w:tcPr>
            <w:tcW w:w="900" w:type="dxa"/>
            <w:vAlign w:val="bottom"/>
            <w:shd w:val="clear" w:color="auto" w:fill="9ADAF6"/>
          </w:tcPr>
          <w:p>
            <w:pPr>
              <w:jc w:val="center"/>
              <w:spacing w:after="0" w:line="113" w:lineRule="exact"/>
              <w:rPr>
                <w:sz w:val="20"/>
                <w:szCs w:val="20"/>
                <w:color w:val="auto"/>
              </w:rPr>
            </w:pPr>
            <w:r>
              <w:rPr>
                <w:rFonts w:ascii="Arial" w:cs="Arial" w:eastAsia="Arial" w:hAnsi="Arial"/>
                <w:sz w:val="13"/>
                <w:szCs w:val="13"/>
                <w:b w:val="1"/>
                <w:bCs w:val="1"/>
                <w:color w:val="auto"/>
              </w:rPr>
              <w:t>Calculation</w:t>
            </w:r>
          </w:p>
        </w:tc>
        <w:tc>
          <w:tcPr>
            <w:tcW w:w="20" w:type="dxa"/>
            <w:vAlign w:val="bottom"/>
          </w:tcPr>
          <w:p>
            <w:pPr>
              <w:spacing w:after="0"/>
              <w:rPr>
                <w:sz w:val="9"/>
                <w:szCs w:val="9"/>
                <w:color w:val="auto"/>
              </w:rPr>
            </w:pPr>
          </w:p>
        </w:tc>
        <w:tc>
          <w:tcPr>
            <w:tcW w:w="880" w:type="dxa"/>
            <w:vAlign w:val="bottom"/>
            <w:vMerge w:val="restart"/>
            <w:shd w:val="clear" w:color="auto" w:fill="9ADAF6"/>
          </w:tcPr>
          <w:p>
            <w:pPr>
              <w:jc w:val="right"/>
              <w:ind w:right="38"/>
              <w:spacing w:after="0"/>
              <w:rPr>
                <w:sz w:val="20"/>
                <w:szCs w:val="20"/>
                <w:color w:val="auto"/>
              </w:rPr>
            </w:pPr>
            <w:r>
              <w:rPr>
                <w:rFonts w:ascii="Arial" w:cs="Arial" w:eastAsia="Arial" w:hAnsi="Arial"/>
                <w:sz w:val="16"/>
                <w:szCs w:val="16"/>
                <w:b w:val="1"/>
                <w:bCs w:val="1"/>
                <w:color w:val="auto"/>
              </w:rPr>
              <w:t>Amount</w:t>
            </w:r>
          </w:p>
        </w:tc>
        <w:tc>
          <w:tcPr>
            <w:tcW w:w="20" w:type="dxa"/>
            <w:vAlign w:val="bottom"/>
          </w:tcPr>
          <w:p>
            <w:pPr>
              <w:spacing w:after="0"/>
              <w:rPr>
                <w:sz w:val="9"/>
                <w:szCs w:val="9"/>
                <w:color w:val="auto"/>
              </w:rPr>
            </w:pPr>
          </w:p>
        </w:tc>
        <w:tc>
          <w:tcPr>
            <w:tcW w:w="780" w:type="dxa"/>
            <w:vAlign w:val="bottom"/>
            <w:shd w:val="clear" w:color="auto" w:fill="9ADAF6"/>
          </w:tcPr>
          <w:p>
            <w:pPr>
              <w:jc w:val="center"/>
              <w:spacing w:after="0" w:line="113" w:lineRule="exact"/>
              <w:rPr>
                <w:sz w:val="20"/>
                <w:szCs w:val="20"/>
                <w:color w:val="auto"/>
              </w:rPr>
            </w:pPr>
            <w:r>
              <w:rPr>
                <w:rFonts w:ascii="Arial" w:cs="Arial" w:eastAsia="Arial" w:hAnsi="Arial"/>
                <w:sz w:val="13"/>
                <w:szCs w:val="13"/>
                <w:b w:val="1"/>
                <w:bCs w:val="1"/>
                <w:color w:val="auto"/>
              </w:rPr>
              <w:t>Maximum</w:t>
            </w:r>
          </w:p>
        </w:tc>
        <w:tc>
          <w:tcPr>
            <w:tcW w:w="20" w:type="dxa"/>
            <w:vAlign w:val="bottom"/>
          </w:tcPr>
          <w:p>
            <w:pPr>
              <w:spacing w:after="0"/>
              <w:rPr>
                <w:sz w:val="9"/>
                <w:szCs w:val="9"/>
                <w:color w:val="auto"/>
              </w:rPr>
            </w:pPr>
          </w:p>
        </w:tc>
        <w:tc>
          <w:tcPr>
            <w:tcW w:w="1180" w:type="dxa"/>
            <w:vAlign w:val="bottom"/>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980" w:type="dxa"/>
            <w:vAlign w:val="bottom"/>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Forward</w:t>
            </w:r>
          </w:p>
        </w:tc>
        <w:tc>
          <w:tcPr>
            <w:tcW w:w="20" w:type="dxa"/>
            <w:vAlign w:val="bottom"/>
          </w:tcPr>
          <w:p>
            <w:pPr>
              <w:spacing w:after="0"/>
              <w:rPr>
                <w:sz w:val="9"/>
                <w:szCs w:val="9"/>
                <w:color w:val="auto"/>
              </w:rPr>
            </w:pPr>
          </w:p>
        </w:tc>
        <w:tc>
          <w:tcPr>
            <w:tcW w:w="68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Forward</w:t>
            </w:r>
          </w:p>
        </w:tc>
        <w:tc>
          <w:tcPr>
            <w:tcW w:w="20" w:type="dxa"/>
            <w:vAlign w:val="bottom"/>
          </w:tcPr>
          <w:p>
            <w:pPr>
              <w:spacing w:after="0"/>
              <w:rPr>
                <w:sz w:val="9"/>
                <w:szCs w:val="9"/>
                <w:color w:val="auto"/>
              </w:rPr>
            </w:pPr>
          </w:p>
        </w:tc>
        <w:tc>
          <w:tcPr>
            <w:tcW w:w="720" w:type="dxa"/>
            <w:vAlign w:val="bottom"/>
            <w:shd w:val="clear" w:color="auto" w:fill="9ADAF6"/>
          </w:tcPr>
          <w:p>
            <w:pPr>
              <w:jc w:val="center"/>
              <w:spacing w:after="0" w:line="113" w:lineRule="exact"/>
              <w:rPr>
                <w:sz w:val="20"/>
                <w:szCs w:val="20"/>
                <w:color w:val="auto"/>
              </w:rPr>
            </w:pPr>
            <w:r>
              <w:rPr>
                <w:rFonts w:ascii="Arial" w:cs="Arial" w:eastAsia="Arial" w:hAnsi="Arial"/>
                <w:sz w:val="13"/>
                <w:szCs w:val="13"/>
                <w:b w:val="1"/>
                <w:bCs w:val="1"/>
                <w:color w:val="auto"/>
              </w:rPr>
              <w:t>Forward</w:t>
            </w:r>
          </w:p>
        </w:tc>
        <w:tc>
          <w:tcPr>
            <w:tcW w:w="20" w:type="dxa"/>
            <w:vAlign w:val="bottom"/>
          </w:tcPr>
          <w:p>
            <w:pPr>
              <w:spacing w:after="0"/>
              <w:rPr>
                <w:sz w:val="9"/>
                <w:szCs w:val="9"/>
                <w:color w:val="auto"/>
              </w:rPr>
            </w:pPr>
          </w:p>
        </w:tc>
        <w:tc>
          <w:tcPr>
            <w:tcW w:w="92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with</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7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shd w:val="clear" w:color="auto" w:fill="9ADAF6"/>
          </w:tcPr>
          <w:p>
            <w:pPr>
              <w:jc w:val="center"/>
              <w:spacing w:after="0" w:line="165" w:lineRule="exact"/>
              <w:rPr>
                <w:sz w:val="20"/>
                <w:szCs w:val="20"/>
                <w:color w:val="auto"/>
              </w:rPr>
            </w:pPr>
            <w:r>
              <w:rPr>
                <w:rFonts w:ascii="Arial" w:cs="Arial" w:eastAsia="Arial" w:hAnsi="Arial"/>
                <w:sz w:val="16"/>
                <w:szCs w:val="16"/>
                <w:b w:val="1"/>
                <w:bCs w:val="1"/>
                <w:color w:val="auto"/>
              </w:rPr>
              <w:t>or Carry</w:t>
            </w:r>
          </w:p>
        </w:tc>
        <w:tc>
          <w:tcPr>
            <w:tcW w:w="20" w:type="dxa"/>
            <w:vAlign w:val="bottom"/>
          </w:tcPr>
          <w:p>
            <w:pPr>
              <w:spacing w:after="0"/>
              <w:rPr>
                <w:sz w:val="14"/>
                <w:szCs w:val="14"/>
                <w:color w:val="auto"/>
              </w:rPr>
            </w:pPr>
          </w:p>
        </w:tc>
        <w:tc>
          <w:tcPr>
            <w:tcW w:w="88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shd w:val="clear" w:color="auto" w:fill="9ADAF6"/>
          </w:tcPr>
          <w:p>
            <w:pPr>
              <w:jc w:val="center"/>
              <w:spacing w:after="0" w:line="165" w:lineRule="exact"/>
              <w:rPr>
                <w:sz w:val="20"/>
                <w:szCs w:val="20"/>
                <w:color w:val="auto"/>
              </w:rPr>
            </w:pPr>
            <w:r>
              <w:rPr>
                <w:rFonts w:ascii="Arial" w:cs="Arial" w:eastAsia="Arial" w:hAnsi="Arial"/>
                <w:sz w:val="16"/>
                <w:szCs w:val="16"/>
                <w:b w:val="1"/>
                <w:bCs w:val="1"/>
                <w:color w:val="auto"/>
              </w:rPr>
              <w:t>Offering</w:t>
            </w:r>
          </w:p>
        </w:tc>
        <w:tc>
          <w:tcPr>
            <w:tcW w:w="20" w:type="dxa"/>
            <w:vAlign w:val="bottom"/>
          </w:tcPr>
          <w:p>
            <w:pPr>
              <w:spacing w:after="0"/>
              <w:rPr>
                <w:sz w:val="14"/>
                <w:szCs w:val="14"/>
                <w:color w:val="auto"/>
              </w:rPr>
            </w:pPr>
          </w:p>
        </w:tc>
        <w:tc>
          <w:tcPr>
            <w:tcW w:w="1180" w:type="dxa"/>
            <w:vAlign w:val="bottom"/>
            <w:shd w:val="clear" w:color="auto" w:fill="9ADAF6"/>
          </w:tcPr>
          <w:p>
            <w:pPr>
              <w:jc w:val="center"/>
              <w:spacing w:after="0" w:line="165" w:lineRule="exact"/>
              <w:rPr>
                <w:sz w:val="20"/>
                <w:szCs w:val="20"/>
                <w:color w:val="auto"/>
              </w:rPr>
            </w:pPr>
            <w:r>
              <w:rPr>
                <w:rFonts w:ascii="Arial" w:cs="Arial" w:eastAsia="Arial" w:hAnsi="Arial"/>
                <w:sz w:val="16"/>
                <w:szCs w:val="16"/>
                <w:b w:val="1"/>
                <w:bCs w:val="1"/>
                <w:color w:val="auto"/>
              </w:rPr>
              <w:t>Aggregate</w:t>
            </w:r>
          </w:p>
        </w:tc>
        <w:tc>
          <w:tcPr>
            <w:tcW w:w="20" w:type="dxa"/>
            <w:vAlign w:val="bottom"/>
          </w:tcPr>
          <w:p>
            <w:pPr>
              <w:spacing w:after="0"/>
              <w:rPr>
                <w:sz w:val="14"/>
                <w:szCs w:val="14"/>
                <w:color w:val="auto"/>
              </w:rPr>
            </w:pPr>
          </w:p>
        </w:tc>
        <w:tc>
          <w:tcPr>
            <w:tcW w:w="800" w:type="dxa"/>
            <w:vAlign w:val="bottom"/>
            <w:shd w:val="clear" w:color="auto" w:fill="9ADAF6"/>
          </w:tcPr>
          <w:p>
            <w:pPr>
              <w:jc w:val="center"/>
              <w:spacing w:after="0" w:line="165" w:lineRule="exact"/>
              <w:rPr>
                <w:sz w:val="20"/>
                <w:szCs w:val="20"/>
                <w:color w:val="auto"/>
              </w:rPr>
            </w:pPr>
            <w:r>
              <w:rPr>
                <w:rFonts w:ascii="Arial" w:cs="Arial" w:eastAsia="Arial" w:hAnsi="Arial"/>
                <w:sz w:val="16"/>
                <w:szCs w:val="16"/>
                <w:b w:val="1"/>
                <w:bCs w:val="1"/>
                <w:color w:val="auto"/>
              </w:rPr>
              <w:t>Fee Rate</w:t>
            </w:r>
          </w:p>
        </w:tc>
        <w:tc>
          <w:tcPr>
            <w:tcW w:w="20" w:type="dxa"/>
            <w:vAlign w:val="bottom"/>
          </w:tcPr>
          <w:p>
            <w:pPr>
              <w:spacing w:after="0"/>
              <w:rPr>
                <w:sz w:val="14"/>
                <w:szCs w:val="14"/>
                <w:color w:val="auto"/>
              </w:rPr>
            </w:pPr>
          </w:p>
        </w:tc>
        <w:tc>
          <w:tcPr>
            <w:tcW w:w="980" w:type="dxa"/>
            <w:vAlign w:val="bottom"/>
            <w:shd w:val="clear" w:color="auto" w:fill="9ADAF6"/>
          </w:tcPr>
          <w:p>
            <w:pPr>
              <w:jc w:val="center"/>
              <w:spacing w:after="0" w:line="165" w:lineRule="exact"/>
              <w:rPr>
                <w:sz w:val="20"/>
                <w:szCs w:val="20"/>
                <w:color w:val="auto"/>
              </w:rPr>
            </w:pPr>
            <w:r>
              <w:rPr>
                <w:rFonts w:ascii="Arial" w:cs="Arial" w:eastAsia="Arial" w:hAnsi="Arial"/>
                <w:sz w:val="16"/>
                <w:szCs w:val="16"/>
                <w:b w:val="1"/>
                <w:bCs w:val="1"/>
                <w:color w:val="auto"/>
              </w:rPr>
              <w:t>Registration</w:t>
            </w:r>
          </w:p>
        </w:tc>
        <w:tc>
          <w:tcPr>
            <w:tcW w:w="20" w:type="dxa"/>
            <w:vAlign w:val="bottom"/>
          </w:tcPr>
          <w:p>
            <w:pPr>
              <w:spacing w:after="0"/>
              <w:rPr>
                <w:sz w:val="14"/>
                <w:szCs w:val="14"/>
                <w:color w:val="auto"/>
              </w:rPr>
            </w:pPr>
          </w:p>
        </w:tc>
        <w:tc>
          <w:tcPr>
            <w:tcW w:w="68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shd w:val="clear" w:color="auto" w:fill="9ADAF6"/>
          </w:tcPr>
          <w:p>
            <w:pPr>
              <w:jc w:val="center"/>
              <w:spacing w:after="0" w:line="165" w:lineRule="exact"/>
              <w:rPr>
                <w:sz w:val="20"/>
                <w:szCs w:val="20"/>
                <w:color w:val="auto"/>
              </w:rPr>
            </w:pPr>
            <w:r>
              <w:rPr>
                <w:rFonts w:ascii="Arial" w:cs="Arial" w:eastAsia="Arial" w:hAnsi="Arial"/>
                <w:sz w:val="16"/>
                <w:szCs w:val="16"/>
                <w:b w:val="1"/>
                <w:bCs w:val="1"/>
                <w:color w:val="auto"/>
              </w:rPr>
              <w:t>Initial</w:t>
            </w:r>
          </w:p>
        </w:tc>
        <w:tc>
          <w:tcPr>
            <w:tcW w:w="20" w:type="dxa"/>
            <w:vAlign w:val="bottom"/>
          </w:tcPr>
          <w:p>
            <w:pPr>
              <w:spacing w:after="0"/>
              <w:rPr>
                <w:sz w:val="14"/>
                <w:szCs w:val="14"/>
                <w:color w:val="auto"/>
              </w:rPr>
            </w:pPr>
          </w:p>
        </w:tc>
        <w:tc>
          <w:tcPr>
            <w:tcW w:w="9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Type</w:t>
            </w:r>
          </w:p>
        </w:tc>
        <w:tc>
          <w:tcPr>
            <w:tcW w:w="20" w:type="dxa"/>
            <w:vAlign w:val="bottom"/>
          </w:tcPr>
          <w:p>
            <w:pPr>
              <w:spacing w:after="0"/>
              <w:rPr>
                <w:sz w:val="16"/>
                <w:szCs w:val="16"/>
                <w:color w:val="auto"/>
              </w:rPr>
            </w:pPr>
          </w:p>
        </w:tc>
        <w:tc>
          <w:tcPr>
            <w:tcW w:w="960" w:type="dxa"/>
            <w:vAlign w:val="bottom"/>
            <w:shd w:val="clear" w:color="auto" w:fill="9ADAF6"/>
          </w:tcPr>
          <w:p>
            <w:pPr>
              <w:ind w:left="80"/>
              <w:spacing w:after="0"/>
              <w:rPr>
                <w:sz w:val="20"/>
                <w:szCs w:val="20"/>
                <w:color w:val="auto"/>
              </w:rPr>
            </w:pPr>
            <w:r>
              <w:rPr>
                <w:rFonts w:ascii="Arial" w:cs="Arial" w:eastAsia="Arial" w:hAnsi="Arial"/>
                <w:sz w:val="16"/>
                <w:szCs w:val="16"/>
                <w:b w:val="1"/>
                <w:bCs w:val="1"/>
                <w:color w:val="auto"/>
              </w:rPr>
              <w:t>Class Title</w:t>
            </w:r>
          </w:p>
        </w:tc>
        <w:tc>
          <w:tcPr>
            <w:tcW w:w="20" w:type="dxa"/>
            <w:vAlign w:val="bottom"/>
          </w:tcPr>
          <w:p>
            <w:pPr>
              <w:spacing w:after="0"/>
              <w:rPr>
                <w:sz w:val="16"/>
                <w:szCs w:val="16"/>
                <w:color w:val="auto"/>
              </w:rPr>
            </w:pPr>
          </w:p>
        </w:tc>
        <w:tc>
          <w:tcPr>
            <w:tcW w:w="9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Forward</w:t>
            </w:r>
          </w:p>
        </w:tc>
        <w:tc>
          <w:tcPr>
            <w:tcW w:w="20" w:type="dxa"/>
            <w:vAlign w:val="bottom"/>
          </w:tcPr>
          <w:p>
            <w:pPr>
              <w:spacing w:after="0"/>
              <w:rPr>
                <w:sz w:val="16"/>
                <w:szCs w:val="16"/>
                <w:color w:val="auto"/>
              </w:rPr>
            </w:pPr>
          </w:p>
        </w:tc>
        <w:tc>
          <w:tcPr>
            <w:tcW w:w="880" w:type="dxa"/>
            <w:vAlign w:val="bottom"/>
            <w:shd w:val="clear" w:color="auto" w:fill="9ADAF6"/>
          </w:tcPr>
          <w:p>
            <w:pPr>
              <w:jc w:val="right"/>
              <w:spacing w:after="0"/>
              <w:rPr>
                <w:sz w:val="20"/>
                <w:szCs w:val="20"/>
                <w:color w:val="auto"/>
              </w:rPr>
            </w:pPr>
            <w:r>
              <w:rPr>
                <w:rFonts w:ascii="Arial" w:cs="Arial" w:eastAsia="Arial" w:hAnsi="Arial"/>
                <w:sz w:val="16"/>
                <w:szCs w:val="16"/>
                <w:b w:val="1"/>
                <w:bCs w:val="1"/>
                <w:color w:val="auto"/>
              </w:rPr>
              <w:t>Registered</w:t>
            </w:r>
          </w:p>
        </w:tc>
        <w:tc>
          <w:tcPr>
            <w:tcW w:w="20" w:type="dxa"/>
            <w:vAlign w:val="bottom"/>
          </w:tcPr>
          <w:p>
            <w:pPr>
              <w:spacing w:after="0"/>
              <w:rPr>
                <w:sz w:val="16"/>
                <w:szCs w:val="16"/>
                <w:color w:val="auto"/>
              </w:rPr>
            </w:pPr>
          </w:p>
        </w:tc>
        <w:tc>
          <w:tcPr>
            <w:tcW w:w="78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Price Per</w:t>
            </w:r>
          </w:p>
        </w:tc>
        <w:tc>
          <w:tcPr>
            <w:tcW w:w="20" w:type="dxa"/>
            <w:vAlign w:val="bottom"/>
          </w:tcPr>
          <w:p>
            <w:pPr>
              <w:spacing w:after="0"/>
              <w:rPr>
                <w:sz w:val="16"/>
                <w:szCs w:val="16"/>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Offering Price</w:t>
            </w: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Fee</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Form</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File</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Effective</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Unsold</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3"/>
        </w:trPr>
        <w:tc>
          <w:tcPr>
            <w:tcW w:w="40" w:type="dxa"/>
            <w:vAlign w:val="bottom"/>
          </w:tcPr>
          <w:p>
            <w:pPr>
              <w:spacing w:after="0"/>
              <w:rPr>
                <w:sz w:val="9"/>
                <w:szCs w:val="9"/>
                <w:color w:val="auto"/>
              </w:rPr>
            </w:pPr>
          </w:p>
        </w:tc>
        <w:tc>
          <w:tcPr>
            <w:tcW w:w="78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96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w w:val="97"/>
              </w:rPr>
              <w:t>Rule</w:t>
            </w:r>
          </w:p>
        </w:tc>
        <w:tc>
          <w:tcPr>
            <w:tcW w:w="20" w:type="dxa"/>
            <w:vAlign w:val="bottom"/>
          </w:tcPr>
          <w:p>
            <w:pPr>
              <w:spacing w:after="0"/>
              <w:rPr>
                <w:sz w:val="9"/>
                <w:szCs w:val="9"/>
                <w:color w:val="auto"/>
              </w:rPr>
            </w:pPr>
          </w:p>
        </w:tc>
        <w:tc>
          <w:tcPr>
            <w:tcW w:w="88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Unit</w:t>
            </w:r>
          </w:p>
        </w:tc>
        <w:tc>
          <w:tcPr>
            <w:tcW w:w="20" w:type="dxa"/>
            <w:vAlign w:val="bottom"/>
          </w:tcPr>
          <w:p>
            <w:pPr>
              <w:spacing w:after="0"/>
              <w:rPr>
                <w:sz w:val="9"/>
                <w:szCs w:val="9"/>
                <w:color w:val="auto"/>
              </w:rPr>
            </w:pPr>
          </w:p>
        </w:tc>
        <w:tc>
          <w:tcPr>
            <w:tcW w:w="118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98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shd w:val="clear" w:color="auto" w:fill="9ADAF6"/>
          </w:tcPr>
          <w:p>
            <w:pPr>
              <w:jc w:val="center"/>
              <w:spacing w:after="0" w:line="113" w:lineRule="exact"/>
              <w:rPr>
                <w:sz w:val="20"/>
                <w:szCs w:val="20"/>
                <w:color w:val="auto"/>
              </w:rPr>
            </w:pPr>
            <w:r>
              <w:rPr>
                <w:rFonts w:ascii="Arial" w:cs="Arial" w:eastAsia="Arial" w:hAnsi="Arial"/>
                <w:sz w:val="13"/>
                <w:szCs w:val="13"/>
                <w:b w:val="1"/>
                <w:bCs w:val="1"/>
                <w:color w:val="auto"/>
              </w:rPr>
              <w:t>Type</w:t>
            </w:r>
          </w:p>
        </w:tc>
        <w:tc>
          <w:tcPr>
            <w:tcW w:w="20" w:type="dxa"/>
            <w:vAlign w:val="bottom"/>
          </w:tcPr>
          <w:p>
            <w:pPr>
              <w:spacing w:after="0"/>
              <w:rPr>
                <w:sz w:val="9"/>
                <w:szCs w:val="9"/>
                <w:color w:val="auto"/>
              </w:rPr>
            </w:pPr>
          </w:p>
        </w:tc>
        <w:tc>
          <w:tcPr>
            <w:tcW w:w="680" w:type="dxa"/>
            <w:vAlign w:val="bottom"/>
            <w:shd w:val="clear" w:color="auto" w:fill="9ADAF6"/>
          </w:tcPr>
          <w:p>
            <w:pPr>
              <w:jc w:val="center"/>
              <w:spacing w:after="0" w:line="113" w:lineRule="exact"/>
              <w:rPr>
                <w:sz w:val="20"/>
                <w:szCs w:val="20"/>
                <w:color w:val="auto"/>
              </w:rPr>
            </w:pPr>
            <w:r>
              <w:rPr>
                <w:rFonts w:ascii="Arial" w:cs="Arial" w:eastAsia="Arial" w:hAnsi="Arial"/>
                <w:sz w:val="13"/>
                <w:szCs w:val="13"/>
                <w:b w:val="1"/>
                <w:bCs w:val="1"/>
                <w:color w:val="auto"/>
              </w:rPr>
              <w:t>Number</w:t>
            </w:r>
          </w:p>
        </w:tc>
        <w:tc>
          <w:tcPr>
            <w:tcW w:w="20" w:type="dxa"/>
            <w:vAlign w:val="bottom"/>
          </w:tcPr>
          <w:p>
            <w:pPr>
              <w:spacing w:after="0"/>
              <w:rPr>
                <w:sz w:val="9"/>
                <w:szCs w:val="9"/>
                <w:color w:val="auto"/>
              </w:rPr>
            </w:pPr>
          </w:p>
        </w:tc>
        <w:tc>
          <w:tcPr>
            <w:tcW w:w="72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Date</w:t>
            </w:r>
          </w:p>
        </w:tc>
        <w:tc>
          <w:tcPr>
            <w:tcW w:w="20" w:type="dxa"/>
            <w:vAlign w:val="bottom"/>
          </w:tcPr>
          <w:p>
            <w:pPr>
              <w:spacing w:after="0"/>
              <w:rPr>
                <w:sz w:val="9"/>
                <w:szCs w:val="9"/>
                <w:color w:val="auto"/>
              </w:rPr>
            </w:pPr>
          </w:p>
        </w:tc>
        <w:tc>
          <w:tcPr>
            <w:tcW w:w="920" w:type="dxa"/>
            <w:vAlign w:val="bottom"/>
            <w:shd w:val="clear" w:color="auto" w:fill="9ADAF6"/>
          </w:tcPr>
          <w:p>
            <w:pPr>
              <w:jc w:val="center"/>
              <w:spacing w:after="0" w:line="113" w:lineRule="exact"/>
              <w:rPr>
                <w:sz w:val="20"/>
                <w:szCs w:val="20"/>
                <w:color w:val="auto"/>
              </w:rPr>
            </w:pPr>
            <w:r>
              <w:rPr>
                <w:rFonts w:ascii="Arial" w:cs="Arial" w:eastAsia="Arial" w:hAnsi="Arial"/>
                <w:sz w:val="13"/>
                <w:szCs w:val="13"/>
                <w:b w:val="1"/>
                <w:bCs w:val="1"/>
                <w:color w:val="auto"/>
              </w:rPr>
              <w:t>Securities</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40" w:type="dxa"/>
            <w:vAlign w:val="bottom"/>
          </w:tcPr>
          <w:p>
            <w:pPr>
              <w:spacing w:after="0"/>
              <w:rPr>
                <w:sz w:val="11"/>
                <w:szCs w:val="11"/>
                <w:color w:val="auto"/>
              </w:rPr>
            </w:pPr>
          </w:p>
        </w:tc>
        <w:tc>
          <w:tcPr>
            <w:tcW w:w="78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vMerge w:val="continue"/>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continue"/>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vMerge w:val="continue"/>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to be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3"/>
        </w:trPr>
        <w:tc>
          <w:tcPr>
            <w:tcW w:w="40" w:type="dxa"/>
            <w:vAlign w:val="bottom"/>
          </w:tcPr>
          <w:p>
            <w:pPr>
              <w:spacing w:after="0"/>
              <w:rPr>
                <w:sz w:val="4"/>
                <w:szCs w:val="4"/>
                <w:color w:val="auto"/>
              </w:rPr>
            </w:pPr>
          </w:p>
        </w:tc>
        <w:tc>
          <w:tcPr>
            <w:tcW w:w="78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68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96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90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88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78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118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80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98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68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68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72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920" w:type="dxa"/>
            <w:vAlign w:val="bottom"/>
            <w:vMerge w:val="continue"/>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Carried</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7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Forward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0" w:type="dxa"/>
            <w:vAlign w:val="bottom"/>
            <w:gridSpan w:val="5"/>
          </w:tcPr>
          <w:p>
            <w:pPr>
              <w:ind w:left="120"/>
              <w:spacing w:after="0"/>
              <w:rPr>
                <w:sz w:val="20"/>
                <w:szCs w:val="20"/>
                <w:color w:val="auto"/>
              </w:rPr>
            </w:pPr>
            <w:r>
              <w:rPr>
                <w:rFonts w:ascii="Arial" w:cs="Arial" w:eastAsia="Arial" w:hAnsi="Arial"/>
                <w:sz w:val="16"/>
                <w:szCs w:val="16"/>
                <w:b w:val="1"/>
                <w:bCs w:val="1"/>
                <w:color w:val="auto"/>
              </w:rPr>
              <w:t>Newly Registered Securities</w:t>
            </w:r>
          </w:p>
        </w:tc>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Pr>
          <w:p>
            <w:pPr>
              <w:ind w:left="20"/>
              <w:spacing w:after="0"/>
              <w:rPr>
                <w:sz w:val="20"/>
                <w:szCs w:val="20"/>
                <w:color w:val="auto"/>
              </w:rPr>
            </w:pPr>
            <w:r>
              <w:rPr>
                <w:rFonts w:ascii="Arial" w:cs="Arial" w:eastAsia="Arial" w:hAnsi="Arial"/>
                <w:sz w:val="16"/>
                <w:szCs w:val="16"/>
                <w:color w:val="auto"/>
              </w:rPr>
              <w:t>Common</w:t>
            </w: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Pr>
          <w:p>
            <w:pPr>
              <w:ind w:left="20"/>
              <w:spacing w:after="0"/>
              <w:rPr>
                <w:sz w:val="20"/>
                <w:szCs w:val="20"/>
                <w:color w:val="auto"/>
              </w:rPr>
            </w:pPr>
            <w:r>
              <w:rPr>
                <w:rFonts w:ascii="Arial" w:cs="Arial" w:eastAsia="Arial" w:hAnsi="Arial"/>
                <w:sz w:val="16"/>
                <w:szCs w:val="16"/>
                <w:color w:val="auto"/>
              </w:rPr>
              <w:t>Stock, par</w:t>
            </w: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6"/>
                <w:szCs w:val="16"/>
                <w:color w:val="auto"/>
              </w:rPr>
              <w:t>Fees to</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Pr>
          <w:p>
            <w:pPr>
              <w:ind w:left="20"/>
              <w:spacing w:after="0"/>
              <w:rPr>
                <w:sz w:val="20"/>
                <w:szCs w:val="20"/>
                <w:color w:val="auto"/>
              </w:rPr>
            </w:pPr>
            <w:r>
              <w:rPr>
                <w:rFonts w:ascii="Arial" w:cs="Arial" w:eastAsia="Arial" w:hAnsi="Arial"/>
                <w:sz w:val="16"/>
                <w:szCs w:val="16"/>
                <w:color w:val="auto"/>
              </w:rPr>
              <w:t>value $1.00</w:t>
            </w: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gridSpan w:val="3"/>
            <w:vMerge w:val="restart"/>
          </w:tcPr>
          <w:p>
            <w:pPr>
              <w:spacing w:after="0"/>
              <w:rPr>
                <w:sz w:val="20"/>
                <w:szCs w:val="20"/>
                <w:color w:val="auto"/>
              </w:rPr>
            </w:pPr>
            <w:r>
              <w:rPr>
                <w:rFonts w:ascii="Arial" w:cs="Arial" w:eastAsia="Arial" w:hAnsi="Arial"/>
                <w:sz w:val="16"/>
                <w:szCs w:val="16"/>
                <w:color w:val="auto"/>
              </w:rPr>
              <w:t>1 Equity</w:t>
            </w:r>
          </w:p>
        </w:tc>
        <w:tc>
          <w:tcPr>
            <w:tcW w:w="20" w:type="dxa"/>
            <w:vAlign w:val="bottom"/>
          </w:tcPr>
          <w:p>
            <w:pPr>
              <w:spacing w:after="0"/>
              <w:rPr>
                <w:sz w:val="8"/>
                <w:szCs w:val="8"/>
                <w:color w:val="auto"/>
              </w:rPr>
            </w:pPr>
          </w:p>
        </w:tc>
        <w:tc>
          <w:tcPr>
            <w:tcW w:w="960" w:type="dxa"/>
            <w:vAlign w:val="bottom"/>
            <w:vMerge w:val="restart"/>
          </w:tcPr>
          <w:p>
            <w:pPr>
              <w:ind w:left="20"/>
              <w:spacing w:after="0"/>
              <w:rPr>
                <w:sz w:val="20"/>
                <w:szCs w:val="20"/>
                <w:color w:val="auto"/>
              </w:rPr>
            </w:pPr>
            <w:r>
              <w:rPr>
                <w:rFonts w:ascii="Arial" w:cs="Arial" w:eastAsia="Arial" w:hAnsi="Arial"/>
                <w:sz w:val="16"/>
                <w:szCs w:val="16"/>
                <w:color w:val="auto"/>
              </w:rPr>
              <w:t>per share,</w:t>
            </w:r>
          </w:p>
        </w:tc>
        <w:tc>
          <w:tcPr>
            <w:tcW w:w="20" w:type="dxa"/>
            <w:vAlign w:val="bottom"/>
          </w:tcPr>
          <w:p>
            <w:pPr>
              <w:spacing w:after="0"/>
              <w:rPr>
                <w:sz w:val="8"/>
                <w:szCs w:val="8"/>
                <w:color w:val="auto"/>
              </w:rPr>
            </w:pPr>
          </w:p>
        </w:tc>
        <w:tc>
          <w:tcPr>
            <w:tcW w:w="900" w:type="dxa"/>
            <w:vAlign w:val="bottom"/>
            <w:vMerge w:val="restart"/>
          </w:tcPr>
          <w:p>
            <w:pPr>
              <w:jc w:val="center"/>
              <w:spacing w:after="0"/>
              <w:rPr>
                <w:sz w:val="20"/>
                <w:szCs w:val="20"/>
                <w:color w:val="auto"/>
              </w:rPr>
            </w:pPr>
            <w:r>
              <w:rPr>
                <w:rFonts w:ascii="Arial" w:cs="Arial" w:eastAsia="Arial" w:hAnsi="Arial"/>
                <w:sz w:val="16"/>
                <w:szCs w:val="16"/>
                <w:color w:val="auto"/>
                <w:w w:val="98"/>
              </w:rPr>
              <w:t>457(r)</w:t>
            </w:r>
          </w:p>
        </w:tc>
        <w:tc>
          <w:tcPr>
            <w:tcW w:w="900" w:type="dxa"/>
            <w:vAlign w:val="bottom"/>
            <w:gridSpan w:val="2"/>
            <w:vMerge w:val="restart"/>
          </w:tcPr>
          <w:p>
            <w:pPr>
              <w:jc w:val="right"/>
              <w:spacing w:after="0"/>
              <w:rPr>
                <w:sz w:val="20"/>
                <w:szCs w:val="20"/>
                <w:color w:val="auto"/>
              </w:rPr>
            </w:pPr>
            <w:r>
              <w:rPr>
                <w:rFonts w:ascii="Arial" w:cs="Arial" w:eastAsia="Arial" w:hAnsi="Arial"/>
                <w:sz w:val="16"/>
                <w:szCs w:val="16"/>
                <w:color w:val="auto"/>
              </w:rPr>
              <w:t>6,032,604</w:t>
            </w: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820" w:type="dxa"/>
            <w:vAlign w:val="bottom"/>
            <w:gridSpan w:val="2"/>
            <w:vMerge w:val="restart"/>
          </w:tcPr>
          <w:p>
            <w:pPr>
              <w:jc w:val="right"/>
              <w:spacing w:after="0"/>
              <w:rPr>
                <w:sz w:val="20"/>
                <w:szCs w:val="20"/>
                <w:color w:val="auto"/>
              </w:rPr>
            </w:pPr>
            <w:r>
              <w:rPr>
                <w:rFonts w:ascii="Arial" w:cs="Arial" w:eastAsia="Arial" w:hAnsi="Arial"/>
                <w:sz w:val="16"/>
                <w:szCs w:val="16"/>
                <w:color w:val="auto"/>
              </w:rPr>
              <w:t>0.0001381</w:t>
            </w:r>
          </w:p>
        </w:tc>
        <w:tc>
          <w:tcPr>
            <w:tcW w:w="1000" w:type="dxa"/>
            <w:vAlign w:val="bottom"/>
            <w:gridSpan w:val="2"/>
            <w:vMerge w:val="restart"/>
          </w:tcPr>
          <w:p>
            <w:pPr>
              <w:jc w:val="right"/>
              <w:spacing w:after="0"/>
              <w:rPr>
                <w:sz w:val="20"/>
                <w:szCs w:val="20"/>
                <w:color w:val="auto"/>
              </w:rPr>
            </w:pPr>
            <w:r>
              <w:rPr>
                <w:rFonts w:ascii="Arial" w:cs="Arial" w:eastAsia="Arial" w:hAnsi="Arial"/>
                <w:sz w:val="16"/>
                <w:szCs w:val="16"/>
                <w:color w:val="auto"/>
              </w:rPr>
              <w:t>$ 65,902.58</w:t>
            </w: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780" w:type="dxa"/>
            <w:vAlign w:val="bottom"/>
          </w:tcPr>
          <w:p>
            <w:pPr>
              <w:spacing w:after="0" w:line="165" w:lineRule="exact"/>
              <w:rPr>
                <w:sz w:val="20"/>
                <w:szCs w:val="20"/>
                <w:color w:val="auto"/>
              </w:rPr>
            </w:pPr>
            <w:r>
              <w:rPr>
                <w:rFonts w:ascii="Arial" w:cs="Arial" w:eastAsia="Arial" w:hAnsi="Arial"/>
                <w:sz w:val="16"/>
                <w:szCs w:val="16"/>
                <w:color w:val="auto"/>
              </w:rPr>
              <w:t>be Paid</w:t>
            </w:r>
          </w:p>
        </w:tc>
        <w:tc>
          <w:tcPr>
            <w:tcW w:w="20" w:type="dxa"/>
            <w:vAlign w:val="bottom"/>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0" w:type="dxa"/>
            <w:vAlign w:val="bottom"/>
            <w:gridSpan w:val="2"/>
          </w:tcPr>
          <w:p>
            <w:pPr>
              <w:jc w:val="right"/>
              <w:spacing w:after="0" w:line="165" w:lineRule="exact"/>
              <w:rPr>
                <w:sz w:val="20"/>
                <w:szCs w:val="20"/>
                <w:color w:val="auto"/>
              </w:rPr>
            </w:pPr>
            <w:r>
              <w:rPr>
                <w:rFonts w:ascii="Arial" w:cs="Arial" w:eastAsia="Arial" w:hAnsi="Arial"/>
                <w:sz w:val="16"/>
                <w:szCs w:val="16"/>
                <w:color w:val="auto"/>
              </w:rPr>
              <w:t>477,209,139.42</w:t>
            </w:r>
          </w:p>
        </w:tc>
        <w:tc>
          <w:tcPr>
            <w:tcW w:w="82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tcPr>
          <w:p>
            <w:pPr>
              <w:ind w:left="20"/>
              <w:spacing w:after="0" w:line="129" w:lineRule="exact"/>
              <w:rPr>
                <w:sz w:val="20"/>
                <w:szCs w:val="20"/>
                <w:color w:val="auto"/>
              </w:rPr>
            </w:pPr>
            <w:r>
              <w:rPr>
                <w:rFonts w:ascii="Arial" w:cs="Arial" w:eastAsia="Arial" w:hAnsi="Arial"/>
                <w:sz w:val="14"/>
                <w:szCs w:val="14"/>
                <w:color w:val="auto"/>
              </w:rPr>
              <w:t>offered by</w:t>
            </w:r>
          </w:p>
        </w:tc>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-1957070</wp:posOffset>
            </wp:positionV>
            <wp:extent cx="7215505" cy="38169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20">
                      <a:extLst>
                        <a:ext uri="{28A0092B-C50C-407E-A947-70E740481C1C}"/>
                      </a:extLst>
                    </a:blip>
                    <a:srcRect/>
                    <a:stretch>
                      <a:fillRect/>
                    </a:stretch>
                  </pic:blipFill>
                  <pic:spPr bwMode="auto">
                    <a:xfrm>
                      <a:off x="0" y="0"/>
                      <a:ext cx="7215505" cy="3816985"/>
                    </a:xfrm>
                    <a:prstGeom prst="rect">
                      <a:avLst/>
                    </a:prstGeom>
                    <a:noFill/>
                  </pic:spPr>
                </pic:pic>
              </a:graphicData>
            </a:graphic>
          </wp:anchor>
        </w:drawing>
      </w:r>
    </w:p>
    <w:p>
      <w:pPr>
        <w:ind w:left="1680"/>
        <w:spacing w:after="0"/>
        <w:rPr>
          <w:sz w:val="20"/>
          <w:szCs w:val="20"/>
          <w:color w:val="auto"/>
        </w:rPr>
      </w:pPr>
      <w:r>
        <w:rPr>
          <w:rFonts w:ascii="Arial" w:cs="Arial" w:eastAsia="Arial" w:hAnsi="Arial"/>
          <w:sz w:val="16"/>
          <w:szCs w:val="16"/>
          <w:color w:val="auto"/>
        </w:rPr>
        <w:t>the selling</w:t>
      </w:r>
    </w:p>
    <w:p>
      <w:pPr>
        <w:spacing w:after="0" w:line="1" w:lineRule="exact"/>
        <w:rPr>
          <w:sz w:val="20"/>
          <w:szCs w:val="20"/>
          <w:color w:val="auto"/>
        </w:rPr>
      </w:pPr>
    </w:p>
    <w:p>
      <w:pPr>
        <w:ind w:left="1680"/>
        <w:spacing w:after="0"/>
        <w:rPr>
          <w:sz w:val="20"/>
          <w:szCs w:val="20"/>
          <w:color w:val="auto"/>
        </w:rPr>
      </w:pPr>
      <w:r>
        <w:rPr>
          <w:rFonts w:ascii="Arial" w:cs="Arial" w:eastAsia="Arial" w:hAnsi="Arial"/>
          <w:sz w:val="16"/>
          <w:szCs w:val="16"/>
          <w:color w:val="auto"/>
        </w:rPr>
        <w:t>stockholders</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16"/>
          <w:szCs w:val="16"/>
          <w:color w:val="auto"/>
        </w:rPr>
        <w:t>Fees</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6"/>
          <w:szCs w:val="16"/>
          <w:color w:val="auto"/>
        </w:rPr>
        <w:t>Previously</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6"/>
          <w:szCs w:val="16"/>
          <w:color w:val="auto"/>
        </w:rPr>
        <w:t>Paid</w:t>
      </w:r>
    </w:p>
    <w:p>
      <w:pPr>
        <w:spacing w:after="0" w:line="26" w:lineRule="exact"/>
        <w:rPr>
          <w:sz w:val="20"/>
          <w:szCs w:val="20"/>
          <w:color w:val="auto"/>
        </w:rPr>
      </w:pPr>
    </w:p>
    <w:tbl>
      <w:tblPr>
        <w:tblLayout w:type="fixed"/>
        <w:tblInd w:w="40" w:type="dxa"/>
        <w:tblCellMar>
          <w:top w:w="0" w:type="dxa"/>
          <w:left w:w="0" w:type="dxa"/>
          <w:bottom w:w="0" w:type="dxa"/>
          <w:right w:w="0" w:type="dxa"/>
        </w:tblCellMar>
      </w:tblPr>
      <w:tr>
        <w:trPr>
          <w:trHeight w:val="225"/>
        </w:trPr>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0" w:type="dxa"/>
            <w:vAlign w:val="bottom"/>
            <w:gridSpan w:val="5"/>
          </w:tcPr>
          <w:p>
            <w:pPr>
              <w:ind w:left="240"/>
              <w:spacing w:after="0"/>
              <w:rPr>
                <w:sz w:val="20"/>
                <w:szCs w:val="20"/>
                <w:color w:val="auto"/>
              </w:rPr>
            </w:pPr>
            <w:r>
              <w:rPr>
                <w:rFonts w:ascii="Arial" w:cs="Arial" w:eastAsia="Arial" w:hAnsi="Arial"/>
                <w:sz w:val="16"/>
                <w:szCs w:val="16"/>
                <w:b w:val="1"/>
                <w:bCs w:val="1"/>
                <w:color w:val="auto"/>
              </w:rPr>
              <w:t>Carry Forward Securities</w:t>
            </w:r>
          </w:p>
        </w:tc>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186"/>
        </w:trPr>
        <w:tc>
          <w:tcPr>
            <w:tcW w:w="780" w:type="dxa"/>
            <w:vAlign w:val="bottom"/>
            <w:shd w:val="clear" w:color="auto" w:fill="E7E7E2"/>
          </w:tcPr>
          <w:p>
            <w:pPr>
              <w:spacing w:after="0"/>
              <w:rPr>
                <w:sz w:val="20"/>
                <w:szCs w:val="20"/>
                <w:color w:val="auto"/>
              </w:rPr>
            </w:pPr>
            <w:r>
              <w:rPr>
                <w:rFonts w:ascii="Arial" w:cs="Arial" w:eastAsia="Arial" w:hAnsi="Arial"/>
                <w:sz w:val="16"/>
                <w:szCs w:val="16"/>
                <w:color w:val="auto"/>
              </w:rPr>
              <w:t>Carry</w:t>
            </w:r>
          </w:p>
        </w:tc>
        <w:tc>
          <w:tcPr>
            <w:tcW w:w="2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shd w:val="clear" w:color="auto" w:fill="E7E7E2"/>
          </w:tcPr>
          <w:p>
            <w:pPr>
              <w:spacing w:after="0"/>
              <w:rPr>
                <w:sz w:val="16"/>
                <w:szCs w:val="16"/>
                <w:color w:val="auto"/>
              </w:rPr>
            </w:pPr>
          </w:p>
        </w:tc>
      </w:tr>
      <w:tr>
        <w:trPr>
          <w:trHeight w:val="185"/>
        </w:trPr>
        <w:tc>
          <w:tcPr>
            <w:tcW w:w="780" w:type="dxa"/>
            <w:vAlign w:val="bottom"/>
            <w:shd w:val="clear" w:color="auto" w:fill="E7E7E2"/>
          </w:tcPr>
          <w:p>
            <w:pPr>
              <w:spacing w:after="0"/>
              <w:rPr>
                <w:sz w:val="20"/>
                <w:szCs w:val="20"/>
                <w:color w:val="auto"/>
              </w:rPr>
            </w:pPr>
            <w:r>
              <w:rPr>
                <w:rFonts w:ascii="Arial" w:cs="Arial" w:eastAsia="Arial" w:hAnsi="Arial"/>
                <w:sz w:val="16"/>
                <w:szCs w:val="16"/>
                <w:color w:val="auto"/>
              </w:rPr>
              <w:t>Forward</w:t>
            </w:r>
          </w:p>
        </w:tc>
        <w:tc>
          <w:tcPr>
            <w:tcW w:w="2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shd w:val="clear" w:color="auto" w:fill="E7E7E2"/>
          </w:tcPr>
          <w:p>
            <w:pPr>
              <w:spacing w:after="0"/>
              <w:rPr>
                <w:sz w:val="16"/>
                <w:szCs w:val="16"/>
                <w:color w:val="auto"/>
              </w:rPr>
            </w:pPr>
          </w:p>
        </w:tc>
      </w:tr>
      <w:tr>
        <w:trPr>
          <w:trHeight w:val="216"/>
        </w:trPr>
        <w:tc>
          <w:tcPr>
            <w:tcW w:w="780" w:type="dxa"/>
            <w:vAlign w:val="bottom"/>
            <w:shd w:val="clear" w:color="auto" w:fill="E7E7E2"/>
          </w:tcPr>
          <w:p>
            <w:pPr>
              <w:spacing w:after="0"/>
              <w:rPr>
                <w:sz w:val="20"/>
                <w:szCs w:val="20"/>
                <w:color w:val="auto"/>
              </w:rPr>
            </w:pPr>
            <w:r>
              <w:rPr>
                <w:rFonts w:ascii="Arial" w:cs="Arial" w:eastAsia="Arial" w:hAnsi="Arial"/>
                <w:sz w:val="16"/>
                <w:szCs w:val="16"/>
                <w:color w:val="auto"/>
              </w:rPr>
              <w:t>Securities</w:t>
            </w:r>
          </w:p>
        </w:tc>
        <w:tc>
          <w:tcPr>
            <w:tcW w:w="20" w:type="dxa"/>
            <w:vAlign w:val="bottom"/>
          </w:tcPr>
          <w:p>
            <w:pPr>
              <w:spacing w:after="0"/>
              <w:rPr>
                <w:sz w:val="18"/>
                <w:szCs w:val="18"/>
                <w:color w:val="auto"/>
              </w:rPr>
            </w:pPr>
          </w:p>
        </w:tc>
        <w:tc>
          <w:tcPr>
            <w:tcW w:w="1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shd w:val="clear" w:color="auto" w:fill="E7E7E2"/>
          </w:tcPr>
          <w:p>
            <w:pPr>
              <w:spacing w:after="0"/>
              <w:rPr>
                <w:sz w:val="18"/>
                <w:szCs w:val="18"/>
                <w:color w:val="auto"/>
              </w:rPr>
            </w:pPr>
          </w:p>
        </w:tc>
      </w:tr>
      <w:tr>
        <w:trPr>
          <w:trHeight w:val="195"/>
        </w:trPr>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0" w:type="dxa"/>
            <w:vAlign w:val="bottom"/>
            <w:gridSpan w:val="3"/>
          </w:tcPr>
          <w:p>
            <w:pPr>
              <w:jc w:val="right"/>
              <w:spacing w:after="0"/>
              <w:rPr>
                <w:sz w:val="20"/>
                <w:szCs w:val="20"/>
                <w:color w:val="auto"/>
              </w:rPr>
            </w:pPr>
            <w:r>
              <w:rPr>
                <w:rFonts w:ascii="Arial" w:cs="Arial" w:eastAsia="Arial" w:hAnsi="Arial"/>
                <w:sz w:val="16"/>
                <w:szCs w:val="16"/>
                <w:color w:val="auto"/>
              </w:rPr>
              <w:t>Total Offering Amounts:</w:t>
            </w:r>
          </w:p>
        </w:tc>
        <w:tc>
          <w:tcPr>
            <w:tcW w:w="2000" w:type="dxa"/>
            <w:vAlign w:val="bottom"/>
            <w:gridSpan w:val="4"/>
          </w:tcPr>
          <w:p>
            <w:pPr>
              <w:jc w:val="right"/>
              <w:ind w:right="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$ 65,902.58</w:t>
            </w:r>
          </w:p>
        </w:tc>
      </w:tr>
      <w:tr>
        <w:trPr>
          <w:trHeight w:val="217"/>
        </w:trPr>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0" w:type="dxa"/>
            <w:vAlign w:val="bottom"/>
            <w:gridSpan w:val="4"/>
          </w:tcPr>
          <w:p>
            <w:pPr>
              <w:jc w:val="right"/>
              <w:ind w:right="20"/>
              <w:spacing w:after="0"/>
              <w:rPr>
                <w:sz w:val="20"/>
                <w:szCs w:val="20"/>
                <w:color w:val="auto"/>
              </w:rPr>
            </w:pPr>
            <w:r>
              <w:rPr>
                <w:rFonts w:ascii="Arial" w:cs="Arial" w:eastAsia="Arial" w:hAnsi="Arial"/>
                <w:sz w:val="16"/>
                <w:szCs w:val="16"/>
                <w:color w:val="auto"/>
              </w:rPr>
              <w:t>477,209,139.42</w:t>
            </w: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26"/>
        </w:trPr>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780" w:type="dxa"/>
            <w:vAlign w:val="bottom"/>
            <w:gridSpan w:val="5"/>
          </w:tcPr>
          <w:p>
            <w:pPr>
              <w:jc w:val="right"/>
              <w:spacing w:after="0"/>
              <w:rPr>
                <w:sz w:val="20"/>
                <w:szCs w:val="20"/>
                <w:color w:val="auto"/>
              </w:rPr>
            </w:pPr>
            <w:r>
              <w:rPr>
                <w:rFonts w:ascii="Arial" w:cs="Arial" w:eastAsia="Arial" w:hAnsi="Arial"/>
                <w:sz w:val="16"/>
                <w:szCs w:val="16"/>
                <w:color w:val="auto"/>
              </w:rPr>
              <w:t>Total Fees Previously Paid:</w:t>
            </w: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$ 0.00</w:t>
            </w:r>
          </w:p>
        </w:tc>
      </w:tr>
      <w:tr>
        <w:trPr>
          <w:trHeight w:val="226"/>
        </w:trPr>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0" w:type="dxa"/>
            <w:vAlign w:val="bottom"/>
            <w:gridSpan w:val="3"/>
          </w:tcPr>
          <w:p>
            <w:pPr>
              <w:jc w:val="right"/>
              <w:spacing w:after="0"/>
              <w:rPr>
                <w:sz w:val="20"/>
                <w:szCs w:val="20"/>
                <w:color w:val="auto"/>
              </w:rPr>
            </w:pPr>
            <w:r>
              <w:rPr>
                <w:rFonts w:ascii="Arial" w:cs="Arial" w:eastAsia="Arial" w:hAnsi="Arial"/>
                <w:sz w:val="16"/>
                <w:szCs w:val="16"/>
                <w:color w:val="auto"/>
              </w:rPr>
              <w:t>Total Fee Offsets:</w:t>
            </w: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$ 0.00</w:t>
            </w:r>
          </w:p>
        </w:tc>
      </w:tr>
      <w:tr>
        <w:trPr>
          <w:trHeight w:val="226"/>
        </w:trPr>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0" w:type="dxa"/>
            <w:vAlign w:val="bottom"/>
            <w:gridSpan w:val="3"/>
          </w:tcPr>
          <w:p>
            <w:pPr>
              <w:jc w:val="right"/>
              <w:spacing w:after="0"/>
              <w:rPr>
                <w:sz w:val="20"/>
                <w:szCs w:val="20"/>
                <w:color w:val="auto"/>
              </w:rPr>
            </w:pPr>
            <w:r>
              <w:rPr>
                <w:rFonts w:ascii="Arial" w:cs="Arial" w:eastAsia="Arial" w:hAnsi="Arial"/>
                <w:sz w:val="16"/>
                <w:szCs w:val="16"/>
                <w:color w:val="auto"/>
              </w:rPr>
              <w:t>Net Fee Due:</w:t>
            </w: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$ 65,902.58</w:t>
            </w:r>
          </w:p>
        </w:tc>
      </w:tr>
    </w:tbl>
    <w:p>
      <w:pPr>
        <w:spacing w:after="0" w:line="24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Offering Note</w:t>
      </w:r>
    </w:p>
    <w:p>
      <w:pPr>
        <w:spacing w:after="0" w:line="114" w:lineRule="exact"/>
        <w:rPr>
          <w:sz w:val="20"/>
          <w:szCs w:val="20"/>
          <w:color w:val="auto"/>
        </w:rPr>
      </w:pPr>
    </w:p>
    <w:p>
      <w:pPr>
        <w:ind w:left="200" w:right="120" w:hanging="167"/>
        <w:spacing w:after="0" w:line="237" w:lineRule="auto"/>
        <w:tabs>
          <w:tab w:leader="none" w:pos="200" w:val="left"/>
        </w:tabs>
        <w:numPr>
          <w:ilvl w:val="0"/>
          <w:numId w:val="29"/>
        </w:numPr>
        <w:rPr>
          <w:rFonts w:ascii="Arial" w:cs="Arial" w:eastAsia="Arial" w:hAnsi="Arial"/>
          <w:sz w:val="21"/>
          <w:szCs w:val="21"/>
          <w:color w:val="auto"/>
          <w:vertAlign w:val="superscript"/>
        </w:rPr>
      </w:pPr>
      <w:r>
        <w:rPr>
          <w:rFonts w:ascii="Arial" w:cs="Arial" w:eastAsia="Arial" w:hAnsi="Arial"/>
          <w:sz w:val="16"/>
          <w:szCs w:val="16"/>
          <w:color w:val="auto"/>
        </w:rPr>
        <w:t>This registration fee table shall be deemed to update the "Calculation of Filing Fee Tables" in the registration statement on Form S-3ASR (File No. 333-275774) of Southwest Gas Holdings, Inc. (the "Registrant") filed on November 28, 2023 in accordance with Rules 456(b) and 457(r) under the Securities Act of 1933, as amended (the "Securities Act"). This registration fee table represents up to 6,032,604 shares of the Registrant's common stock, par value $1.00 per share ("Common Stock") issued to the selling stockholders named in the prospectus supplement. Pursuant to Rule 416 under the Securities Act, the shares of Common Stock offered hereby shall also be deemed to cover such additional shares as may hereafter be offered or issued with respect to the shares registered hereby resulting from stock splits, stock dividends, recapitalizations or similar capital adjustments. The Proposed Maximum Offering Price Per Unit is estimated solely for the purpose of calculating the amount of the registration fee pursuant to Rule 457(c) of the Securities Act, on the basis of the average of the high and low prices for a share of the registrant's Common Stock as reported on the New York Stock Exchange on November 19, 2025, which date is within five business days prior to the filing of this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61595</wp:posOffset>
            </wp:positionV>
            <wp:extent cx="7151370"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21">
                      <a:extLst>
                        <a:ext uri="{28A0092B-C50C-407E-A947-70E740481C1C}"/>
                      </a:extLst>
                    </a:blip>
                    <a:srcRect/>
                    <a:stretch>
                      <a:fillRect/>
                    </a:stretch>
                  </pic:blipFill>
                  <pic:spPr bwMode="auto">
                    <a:xfrm>
                      <a:off x="0" y="0"/>
                      <a:ext cx="7151370" cy="3873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tbl>
      <w:tblPr>
        <w:tblLayout w:type="fixed"/>
        <w:tblInd w:w="10" w:type="dxa"/>
        <w:tblCellMar>
          <w:top w:w="0" w:type="dxa"/>
          <w:left w:w="0" w:type="dxa"/>
          <w:bottom w:w="0" w:type="dxa"/>
          <w:right w:w="0" w:type="dxa"/>
        </w:tblCellMar>
      </w:tblPr>
      <w:tr>
        <w:trPr>
          <w:trHeight w:val="268"/>
        </w:trPr>
        <w:tc>
          <w:tcPr>
            <w:tcW w:w="3440" w:type="dxa"/>
            <w:vAlign w:val="bottom"/>
            <w:tcBorders>
              <w:bottom w:val="single" w:sz="8" w:color="auto"/>
            </w:tcBorders>
            <w:gridSpan w:val="10"/>
          </w:tcPr>
          <w:p>
            <w:pPr>
              <w:ind w:left="40"/>
              <w:spacing w:after="0"/>
              <w:rPr>
                <w:sz w:val="20"/>
                <w:szCs w:val="20"/>
                <w:color w:val="auto"/>
              </w:rPr>
            </w:pPr>
            <w:r>
              <w:rPr>
                <w:rFonts w:ascii="Arial" w:cs="Arial" w:eastAsia="Arial" w:hAnsi="Arial"/>
                <w:sz w:val="16"/>
                <w:szCs w:val="16"/>
                <w:b w:val="1"/>
                <w:bCs w:val="1"/>
                <w:color w:val="auto"/>
              </w:rPr>
              <w:t>Table 2: Fee Offset Claims and Sources</w:t>
            </w:r>
          </w:p>
        </w:tc>
        <w:tc>
          <w:tcPr>
            <w:tcW w:w="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680" w:type="dxa"/>
            <w:vAlign w:val="bottom"/>
            <w:tcBorders>
              <w:bottom w:val="single" w:sz="8" w:color="auto"/>
            </w:tcBorders>
            <w:gridSpan w:val="7"/>
          </w:tcPr>
          <w:p>
            <w:pPr>
              <w:ind w:left="340"/>
              <w:spacing w:after="0" w:line="184" w:lineRule="exact"/>
              <w:rPr>
                <w:sz w:val="20"/>
                <w:szCs w:val="20"/>
                <w:color w:val="auto"/>
              </w:rPr>
            </w:pPr>
            <w:r>
              <w:rPr>
                <w:rFonts w:ascii="MS PGothic" w:cs="MS PGothic" w:eastAsia="MS PGothic" w:hAnsi="MS PGothic"/>
                <w:sz w:val="16"/>
                <w:szCs w:val="16"/>
                <w:color w:val="auto"/>
                <w:highlight w:val="black"/>
              </w:rPr>
              <w:t>☑</w:t>
            </w:r>
            <w:r>
              <w:rPr>
                <w:rFonts w:ascii="Arial" w:cs="Arial" w:eastAsia="Arial" w:hAnsi="Arial"/>
                <w:sz w:val="16"/>
                <w:szCs w:val="16"/>
                <w:b w:val="1"/>
                <w:bCs w:val="1"/>
                <w:color w:val="auto"/>
              </w:rPr>
              <w:t>Not Applicable</w:t>
            </w:r>
          </w:p>
        </w:tc>
        <w:tc>
          <w:tcPr>
            <w:tcW w:w="0" w:type="dxa"/>
            <w:vAlign w:val="bottom"/>
          </w:tcPr>
          <w:p>
            <w:pPr>
              <w:spacing w:after="0"/>
              <w:rPr>
                <w:sz w:val="1"/>
                <w:szCs w:val="1"/>
                <w:color w:val="auto"/>
              </w:rPr>
            </w:pPr>
          </w:p>
        </w:tc>
      </w:tr>
      <w:tr>
        <w:trPr>
          <w:trHeight w:val="190"/>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3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0" w:type="dxa"/>
            <w:vAlign w:val="bottom"/>
            <w:tcBorders>
              <w:left w:val="single" w:sz="8" w:color="9ADAF6"/>
            </w:tcBorders>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rPr>
              <w:t>Unsold</w:t>
            </w:r>
          </w:p>
        </w:tc>
        <w:tc>
          <w:tcPr>
            <w:tcW w:w="20" w:type="dxa"/>
            <w:vAlign w:val="bottom"/>
          </w:tcPr>
          <w:p>
            <w:pPr>
              <w:spacing w:after="0"/>
              <w:rPr>
                <w:sz w:val="16"/>
                <w:szCs w:val="16"/>
                <w:color w:val="auto"/>
              </w:rPr>
            </w:pPr>
          </w:p>
        </w:tc>
        <w:tc>
          <w:tcPr>
            <w:tcW w:w="6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3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Security</w:t>
            </w:r>
          </w:p>
        </w:tc>
        <w:tc>
          <w:tcPr>
            <w:tcW w:w="20" w:type="dxa"/>
            <w:vAlign w:val="bottom"/>
          </w:tcPr>
          <w:p>
            <w:pPr>
              <w:spacing w:after="0"/>
              <w:rPr>
                <w:sz w:val="16"/>
                <w:szCs w:val="16"/>
                <w:color w:val="auto"/>
              </w:rPr>
            </w:pPr>
          </w:p>
        </w:tc>
        <w:tc>
          <w:tcPr>
            <w:tcW w:w="780" w:type="dxa"/>
            <w:vAlign w:val="bottom"/>
            <w:gridSpan w:val="2"/>
            <w:shd w:val="clear" w:color="auto" w:fill="9ADAF6"/>
          </w:tcPr>
          <w:p>
            <w:pPr>
              <w:jc w:val="center"/>
              <w:ind w:left="39"/>
              <w:spacing w:after="0"/>
              <w:rPr>
                <w:sz w:val="20"/>
                <w:szCs w:val="20"/>
                <w:color w:val="auto"/>
              </w:rPr>
            </w:pPr>
            <w:r>
              <w:rPr>
                <w:rFonts w:ascii="Arial" w:cs="Arial" w:eastAsia="Arial" w:hAnsi="Arial"/>
                <w:sz w:val="16"/>
                <w:szCs w:val="16"/>
                <w:b w:val="1"/>
                <w:bCs w:val="1"/>
                <w:color w:val="auto"/>
              </w:rPr>
              <w:t>Security</w:t>
            </w:r>
          </w:p>
        </w:tc>
        <w:tc>
          <w:tcPr>
            <w:tcW w:w="120" w:type="dxa"/>
            <w:vAlign w:val="bottom"/>
            <w:tcBorders>
              <w:left w:val="single" w:sz="8" w:color="9ADAF6"/>
            </w:tcBorders>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rPr>
              <w:t>Unsold</w:t>
            </w:r>
          </w:p>
        </w:tc>
        <w:tc>
          <w:tcPr>
            <w:tcW w:w="20" w:type="dxa"/>
            <w:vAlign w:val="bottom"/>
          </w:tcPr>
          <w:p>
            <w:pPr>
              <w:spacing w:after="0"/>
              <w:rPr>
                <w:sz w:val="16"/>
                <w:szCs w:val="16"/>
                <w:color w:val="auto"/>
              </w:rPr>
            </w:pPr>
          </w:p>
        </w:tc>
        <w:tc>
          <w:tcPr>
            <w:tcW w:w="96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rPr>
              <w:t>Aggregate</w:t>
            </w:r>
          </w:p>
        </w:tc>
        <w:tc>
          <w:tcPr>
            <w:tcW w:w="20" w:type="dxa"/>
            <w:vAlign w:val="bottom"/>
          </w:tcPr>
          <w:p>
            <w:pPr>
              <w:spacing w:after="0"/>
              <w:rPr>
                <w:sz w:val="16"/>
                <w:szCs w:val="16"/>
                <w:color w:val="auto"/>
              </w:rPr>
            </w:pPr>
          </w:p>
        </w:tc>
        <w:tc>
          <w:tcPr>
            <w:tcW w:w="64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Fee</w:t>
            </w:r>
          </w:p>
        </w:tc>
        <w:tc>
          <w:tcPr>
            <w:tcW w:w="20" w:type="dxa"/>
            <w:vAlign w:val="bottom"/>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3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Form</w:t>
            </w: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Initial</w:t>
            </w:r>
          </w:p>
        </w:tc>
        <w:tc>
          <w:tcPr>
            <w:tcW w:w="40" w:type="dxa"/>
            <w:vAlign w:val="bottom"/>
          </w:tcPr>
          <w:p>
            <w:pPr>
              <w:spacing w:after="0"/>
              <w:rPr>
                <w:sz w:val="16"/>
                <w:szCs w:val="16"/>
                <w:color w:val="auto"/>
              </w:rPr>
            </w:pPr>
          </w:p>
        </w:tc>
        <w:tc>
          <w:tcPr>
            <w:tcW w:w="6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gridSpan w:val="3"/>
            <w:vMerge w:val="restart"/>
            <w:shd w:val="clear" w:color="auto" w:fill="9ADAF6"/>
          </w:tcPr>
          <w:p>
            <w:pPr>
              <w:jc w:val="right"/>
              <w:ind w:right="118"/>
              <w:spacing w:after="0"/>
              <w:rPr>
                <w:sz w:val="20"/>
                <w:szCs w:val="20"/>
                <w:color w:val="auto"/>
              </w:rPr>
            </w:pPr>
            <w:r>
              <w:rPr>
                <w:rFonts w:ascii="Arial" w:cs="Arial" w:eastAsia="Arial" w:hAnsi="Arial"/>
                <w:sz w:val="16"/>
                <w:szCs w:val="16"/>
                <w:b w:val="1"/>
                <w:bCs w:val="1"/>
                <w:color w:val="auto"/>
              </w:rPr>
              <w:t>Fee</w:t>
            </w:r>
          </w:p>
        </w:tc>
        <w:tc>
          <w:tcPr>
            <w:tcW w:w="20" w:type="dxa"/>
            <w:vAlign w:val="bottom"/>
          </w:tcPr>
          <w:p>
            <w:pPr>
              <w:spacing w:after="0"/>
              <w:rPr>
                <w:sz w:val="16"/>
                <w:szCs w:val="16"/>
                <w:color w:val="auto"/>
              </w:rPr>
            </w:pPr>
          </w:p>
        </w:tc>
        <w:tc>
          <w:tcPr>
            <w:tcW w:w="9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Type</w:t>
            </w:r>
          </w:p>
        </w:tc>
        <w:tc>
          <w:tcPr>
            <w:tcW w:w="20" w:type="dxa"/>
            <w:vAlign w:val="bottom"/>
          </w:tcPr>
          <w:p>
            <w:pPr>
              <w:spacing w:after="0"/>
              <w:rPr>
                <w:sz w:val="16"/>
                <w:szCs w:val="16"/>
                <w:color w:val="auto"/>
              </w:rPr>
            </w:pPr>
          </w:p>
        </w:tc>
        <w:tc>
          <w:tcPr>
            <w:tcW w:w="780" w:type="dxa"/>
            <w:vAlign w:val="bottom"/>
            <w:gridSpan w:val="2"/>
            <w:shd w:val="clear" w:color="auto" w:fill="9ADAF6"/>
          </w:tcPr>
          <w:p>
            <w:pPr>
              <w:jc w:val="center"/>
              <w:ind w:left="39"/>
              <w:spacing w:after="0"/>
              <w:rPr>
                <w:sz w:val="20"/>
                <w:szCs w:val="20"/>
                <w:color w:val="auto"/>
              </w:rPr>
            </w:pPr>
            <w:r>
              <w:rPr>
                <w:rFonts w:ascii="Arial" w:cs="Arial" w:eastAsia="Arial" w:hAnsi="Arial"/>
                <w:sz w:val="16"/>
                <w:szCs w:val="16"/>
                <w:b w:val="1"/>
                <w:bCs w:val="1"/>
                <w:color w:val="auto"/>
              </w:rPr>
              <w:t>Title</w:t>
            </w:r>
          </w:p>
        </w:tc>
        <w:tc>
          <w:tcPr>
            <w:tcW w:w="120" w:type="dxa"/>
            <w:vAlign w:val="bottom"/>
            <w:tcBorders>
              <w:left w:val="single" w:sz="8" w:color="9ADAF6"/>
            </w:tcBorders>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rPr>
              <w:t>Securities</w:t>
            </w:r>
          </w:p>
        </w:tc>
        <w:tc>
          <w:tcPr>
            <w:tcW w:w="20" w:type="dxa"/>
            <w:vAlign w:val="bottom"/>
          </w:tcPr>
          <w:p>
            <w:pPr>
              <w:spacing w:after="0"/>
              <w:rPr>
                <w:sz w:val="16"/>
                <w:szCs w:val="16"/>
                <w:color w:val="auto"/>
              </w:rPr>
            </w:pPr>
          </w:p>
        </w:tc>
        <w:tc>
          <w:tcPr>
            <w:tcW w:w="96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rPr>
              <w:t>Offering</w:t>
            </w:r>
          </w:p>
        </w:tc>
        <w:tc>
          <w:tcPr>
            <w:tcW w:w="20" w:type="dxa"/>
            <w:vAlign w:val="bottom"/>
          </w:tcPr>
          <w:p>
            <w:pPr>
              <w:spacing w:after="0"/>
              <w:rPr>
                <w:sz w:val="16"/>
                <w:szCs w:val="16"/>
                <w:color w:val="auto"/>
              </w:rPr>
            </w:pPr>
          </w:p>
        </w:tc>
        <w:tc>
          <w:tcPr>
            <w:tcW w:w="64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Paid</w:t>
            </w:r>
          </w:p>
        </w:tc>
        <w:tc>
          <w:tcPr>
            <w:tcW w:w="20" w:type="dxa"/>
            <w:vAlign w:val="bottom"/>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80" w:type="dxa"/>
            <w:vAlign w:val="bottom"/>
            <w:gridSpan w:val="3"/>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Registrant or Filer</w:t>
            </w:r>
          </w:p>
        </w:tc>
        <w:tc>
          <w:tcPr>
            <w:tcW w:w="20" w:type="dxa"/>
            <w:vAlign w:val="bottom"/>
          </w:tcPr>
          <w:p>
            <w:pPr>
              <w:spacing w:after="0"/>
              <w:rPr>
                <w:sz w:val="8"/>
                <w:szCs w:val="8"/>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or</w:t>
            </w:r>
          </w:p>
        </w:tc>
        <w:tc>
          <w:tcPr>
            <w:tcW w:w="20" w:type="dxa"/>
            <w:vAlign w:val="bottom"/>
          </w:tcPr>
          <w:p>
            <w:pPr>
              <w:spacing w:after="0"/>
              <w:rPr>
                <w:sz w:val="8"/>
                <w:szCs w:val="8"/>
                <w:color w:val="auto"/>
              </w:rPr>
            </w:pPr>
          </w:p>
        </w:tc>
        <w:tc>
          <w:tcPr>
            <w:tcW w:w="76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File</w:t>
            </w:r>
          </w:p>
        </w:tc>
        <w:tc>
          <w:tcPr>
            <w:tcW w:w="20" w:type="dxa"/>
            <w:vAlign w:val="bottom"/>
          </w:tcPr>
          <w:p>
            <w:pPr>
              <w:spacing w:after="0"/>
              <w:rPr>
                <w:sz w:val="8"/>
                <w:szCs w:val="8"/>
                <w:color w:val="auto"/>
              </w:rPr>
            </w:pPr>
          </w:p>
        </w:tc>
        <w:tc>
          <w:tcPr>
            <w:tcW w:w="600" w:type="dxa"/>
            <w:vAlign w:val="bottom"/>
            <w:vMerge w:val="continue"/>
            <w:shd w:val="clear" w:color="auto" w:fill="9ADAF6"/>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Filing</w:t>
            </w:r>
          </w:p>
        </w:tc>
        <w:tc>
          <w:tcPr>
            <w:tcW w:w="20" w:type="dxa"/>
            <w:vAlign w:val="bottom"/>
          </w:tcPr>
          <w:p>
            <w:pPr>
              <w:spacing w:after="0"/>
              <w:rPr>
                <w:sz w:val="8"/>
                <w:szCs w:val="8"/>
                <w:color w:val="auto"/>
              </w:rPr>
            </w:pPr>
          </w:p>
        </w:tc>
        <w:tc>
          <w:tcPr>
            <w:tcW w:w="68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vMerge w:val="restart"/>
            <w:shd w:val="clear" w:color="auto" w:fill="9ADAF6"/>
          </w:tcPr>
          <w:p>
            <w:pPr>
              <w:spacing w:after="0"/>
              <w:rPr>
                <w:sz w:val="20"/>
                <w:szCs w:val="20"/>
                <w:color w:val="auto"/>
              </w:rPr>
            </w:pPr>
            <w:r>
              <w:rPr>
                <w:rFonts w:ascii="Arial" w:cs="Arial" w:eastAsia="Arial" w:hAnsi="Arial"/>
                <w:sz w:val="16"/>
                <w:szCs w:val="16"/>
                <w:b w:val="1"/>
                <w:bCs w:val="1"/>
                <w:color w:val="auto"/>
              </w:rPr>
              <w:t>Associated</w:t>
            </w:r>
          </w:p>
        </w:tc>
        <w:tc>
          <w:tcPr>
            <w:tcW w:w="20" w:type="dxa"/>
            <w:vAlign w:val="bottom"/>
          </w:tcPr>
          <w:p>
            <w:pPr>
              <w:spacing w:after="0"/>
              <w:rPr>
                <w:sz w:val="8"/>
                <w:szCs w:val="8"/>
                <w:color w:val="auto"/>
              </w:rPr>
            </w:pPr>
          </w:p>
        </w:tc>
        <w:tc>
          <w:tcPr>
            <w:tcW w:w="900" w:type="dxa"/>
            <w:vAlign w:val="bottom"/>
            <w:gridSpan w:val="3"/>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Associated</w:t>
            </w:r>
          </w:p>
        </w:tc>
        <w:tc>
          <w:tcPr>
            <w:tcW w:w="20" w:type="dxa"/>
            <w:vAlign w:val="bottom"/>
          </w:tcPr>
          <w:p>
            <w:pPr>
              <w:spacing w:after="0"/>
              <w:rPr>
                <w:sz w:val="8"/>
                <w:szCs w:val="8"/>
                <w:color w:val="auto"/>
              </w:rPr>
            </w:pPr>
          </w:p>
        </w:tc>
        <w:tc>
          <w:tcPr>
            <w:tcW w:w="920" w:type="dxa"/>
            <w:vAlign w:val="bottom"/>
            <w:gridSpan w:val="3"/>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Associated</w:t>
            </w:r>
          </w:p>
        </w:tc>
        <w:tc>
          <w:tcPr>
            <w:tcW w:w="20" w:type="dxa"/>
            <w:vAlign w:val="bottom"/>
          </w:tcPr>
          <w:p>
            <w:pPr>
              <w:spacing w:after="0"/>
              <w:rPr>
                <w:sz w:val="8"/>
                <w:szCs w:val="8"/>
                <w:color w:val="auto"/>
              </w:rPr>
            </w:pPr>
          </w:p>
        </w:tc>
        <w:tc>
          <w:tcPr>
            <w:tcW w:w="960" w:type="dxa"/>
            <w:vAlign w:val="bottom"/>
            <w:gridSpan w:val="3"/>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Amount</w:t>
            </w:r>
          </w:p>
        </w:tc>
        <w:tc>
          <w:tcPr>
            <w:tcW w:w="20" w:type="dxa"/>
            <w:vAlign w:val="bottom"/>
          </w:tcPr>
          <w:p>
            <w:pPr>
              <w:spacing w:after="0"/>
              <w:rPr>
                <w:sz w:val="8"/>
                <w:szCs w:val="8"/>
                <w:color w:val="auto"/>
              </w:rPr>
            </w:pPr>
          </w:p>
        </w:tc>
        <w:tc>
          <w:tcPr>
            <w:tcW w:w="64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with</w:t>
            </w:r>
          </w:p>
        </w:tc>
        <w:tc>
          <w:tcPr>
            <w:tcW w:w="20" w:type="dxa"/>
            <w:vAlign w:val="bottom"/>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65"/>
        </w:trPr>
        <w:tc>
          <w:tcPr>
            <w:tcW w:w="40" w:type="dxa"/>
            <w:vAlign w:val="bottom"/>
            <w:tcBorders>
              <w:left w:val="single" w:sz="8" w:color="auto"/>
            </w:tcBorders>
          </w:tcPr>
          <w:p>
            <w:pPr>
              <w:spacing w:after="0"/>
              <w:rPr>
                <w:sz w:val="14"/>
                <w:szCs w:val="14"/>
                <w:color w:val="auto"/>
              </w:rPr>
            </w:pPr>
          </w:p>
        </w:tc>
        <w:tc>
          <w:tcPr>
            <w:tcW w:w="440" w:type="dxa"/>
            <w:vAlign w:val="bottom"/>
            <w:shd w:val="clear" w:color="auto" w:fill="9ADAF6"/>
          </w:tcPr>
          <w:p>
            <w:pPr>
              <w:spacing w:after="0"/>
              <w:rPr>
                <w:sz w:val="14"/>
                <w:szCs w:val="14"/>
                <w:color w:val="auto"/>
              </w:rPr>
            </w:pPr>
          </w:p>
        </w:tc>
        <w:tc>
          <w:tcPr>
            <w:tcW w:w="20" w:type="dxa"/>
            <w:vAlign w:val="bottom"/>
            <w:shd w:val="clear" w:color="auto" w:fill="9ADAF6"/>
          </w:tcPr>
          <w:p>
            <w:pPr>
              <w:spacing w:after="0"/>
              <w:rPr>
                <w:sz w:val="14"/>
                <w:szCs w:val="14"/>
                <w:color w:val="auto"/>
              </w:rPr>
            </w:pPr>
          </w:p>
        </w:tc>
        <w:tc>
          <w:tcPr>
            <w:tcW w:w="520" w:type="dxa"/>
            <w:vAlign w:val="bottom"/>
            <w:shd w:val="clear" w:color="auto" w:fill="9ADAF6"/>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58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shd w:val="clear" w:color="auto" w:fill="9ADAF6"/>
          </w:tcPr>
          <w:p>
            <w:pPr>
              <w:jc w:val="center"/>
              <w:spacing w:after="0" w:line="165" w:lineRule="exact"/>
              <w:rPr>
                <w:sz w:val="20"/>
                <w:szCs w:val="20"/>
                <w:color w:val="auto"/>
              </w:rPr>
            </w:pPr>
            <w:r>
              <w:rPr>
                <w:rFonts w:ascii="Arial" w:cs="Arial" w:eastAsia="Arial" w:hAnsi="Arial"/>
                <w:sz w:val="16"/>
                <w:szCs w:val="16"/>
                <w:b w:val="1"/>
                <w:bCs w:val="1"/>
                <w:color w:val="auto"/>
              </w:rPr>
              <w:t>Filing</w:t>
            </w:r>
          </w:p>
        </w:tc>
        <w:tc>
          <w:tcPr>
            <w:tcW w:w="40" w:type="dxa"/>
            <w:vAlign w:val="bottom"/>
          </w:tcPr>
          <w:p>
            <w:pPr>
              <w:spacing w:after="0"/>
              <w:rPr>
                <w:sz w:val="14"/>
                <w:szCs w:val="14"/>
                <w:color w:val="auto"/>
              </w:rPr>
            </w:pPr>
          </w:p>
        </w:tc>
        <w:tc>
          <w:tcPr>
            <w:tcW w:w="6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gridSpan w:val="3"/>
            <w:shd w:val="clear" w:color="auto" w:fill="9ADAF6"/>
          </w:tcPr>
          <w:p>
            <w:pPr>
              <w:jc w:val="right"/>
              <w:ind w:right="18"/>
              <w:spacing w:after="0" w:line="165" w:lineRule="exact"/>
              <w:rPr>
                <w:sz w:val="20"/>
                <w:szCs w:val="20"/>
                <w:color w:val="auto"/>
              </w:rPr>
            </w:pPr>
            <w:r>
              <w:rPr>
                <w:rFonts w:ascii="Arial" w:cs="Arial" w:eastAsia="Arial" w:hAnsi="Arial"/>
                <w:sz w:val="16"/>
                <w:szCs w:val="16"/>
                <w:b w:val="1"/>
                <w:bCs w:val="1"/>
                <w:color w:val="auto"/>
              </w:rPr>
              <w:t>Offset</w:t>
            </w:r>
          </w:p>
        </w:tc>
        <w:tc>
          <w:tcPr>
            <w:tcW w:w="20" w:type="dxa"/>
            <w:vAlign w:val="bottom"/>
          </w:tcPr>
          <w:p>
            <w:pPr>
              <w:spacing w:after="0"/>
              <w:rPr>
                <w:sz w:val="14"/>
                <w:szCs w:val="14"/>
                <w:color w:val="auto"/>
              </w:rPr>
            </w:pPr>
          </w:p>
        </w:tc>
        <w:tc>
          <w:tcPr>
            <w:tcW w:w="9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360" w:type="dxa"/>
            <w:vAlign w:val="bottom"/>
            <w:shd w:val="clear" w:color="auto" w:fill="9ADAF6"/>
          </w:tcPr>
          <w:p>
            <w:pPr>
              <w:jc w:val="center"/>
              <w:ind w:right="138"/>
              <w:spacing w:after="0"/>
              <w:rPr>
                <w:sz w:val="20"/>
                <w:szCs w:val="20"/>
                <w:color w:val="auto"/>
              </w:rPr>
            </w:pPr>
            <w:r>
              <w:rPr>
                <w:rFonts w:ascii="Arial" w:cs="Arial" w:eastAsia="Arial" w:hAnsi="Arial"/>
                <w:sz w:val="16"/>
                <w:szCs w:val="16"/>
                <w:b w:val="1"/>
                <w:bCs w:val="1"/>
                <w:color w:val="auto"/>
              </w:rPr>
              <w:t>Name</w:t>
            </w: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Filing</w:t>
            </w:r>
          </w:p>
        </w:tc>
        <w:tc>
          <w:tcPr>
            <w:tcW w:w="20" w:type="dxa"/>
            <w:vAlign w:val="bottom"/>
          </w:tcPr>
          <w:p>
            <w:pPr>
              <w:spacing w:after="0"/>
              <w:rPr>
                <w:sz w:val="16"/>
                <w:szCs w:val="16"/>
                <w:color w:val="auto"/>
              </w:rPr>
            </w:pPr>
          </w:p>
        </w:tc>
        <w:tc>
          <w:tcPr>
            <w:tcW w:w="76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Number</w:t>
            </w:r>
          </w:p>
        </w:tc>
        <w:tc>
          <w:tcPr>
            <w:tcW w:w="20" w:type="dxa"/>
            <w:vAlign w:val="bottom"/>
          </w:tcPr>
          <w:p>
            <w:pPr>
              <w:spacing w:after="0"/>
              <w:rPr>
                <w:sz w:val="16"/>
                <w:szCs w:val="16"/>
                <w:color w:val="auto"/>
              </w:rPr>
            </w:pPr>
          </w:p>
        </w:tc>
        <w:tc>
          <w:tcPr>
            <w:tcW w:w="6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Date</w:t>
            </w:r>
          </w:p>
        </w:tc>
        <w:tc>
          <w:tcPr>
            <w:tcW w:w="40" w:type="dxa"/>
            <w:vAlign w:val="bottom"/>
          </w:tcPr>
          <w:p>
            <w:pPr>
              <w:spacing w:after="0"/>
              <w:rPr>
                <w:sz w:val="16"/>
                <w:szCs w:val="16"/>
                <w:color w:val="auto"/>
              </w:rPr>
            </w:pPr>
          </w:p>
        </w:tc>
        <w:tc>
          <w:tcPr>
            <w:tcW w:w="6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Date</w:t>
            </w:r>
          </w:p>
        </w:tc>
        <w:tc>
          <w:tcPr>
            <w:tcW w:w="20" w:type="dxa"/>
            <w:vAlign w:val="bottom"/>
          </w:tcPr>
          <w:p>
            <w:pPr>
              <w:spacing w:after="0"/>
              <w:rPr>
                <w:sz w:val="16"/>
                <w:szCs w:val="16"/>
                <w:color w:val="auto"/>
              </w:rPr>
            </w:pPr>
          </w:p>
        </w:tc>
        <w:tc>
          <w:tcPr>
            <w:tcW w:w="680" w:type="dxa"/>
            <w:vAlign w:val="bottom"/>
            <w:gridSpan w:val="3"/>
            <w:shd w:val="clear" w:color="auto" w:fill="9ADAF6"/>
          </w:tcPr>
          <w:p>
            <w:pPr>
              <w:jc w:val="right"/>
              <w:spacing w:after="0"/>
              <w:rPr>
                <w:sz w:val="20"/>
                <w:szCs w:val="20"/>
                <w:color w:val="auto"/>
              </w:rPr>
            </w:pPr>
            <w:r>
              <w:rPr>
                <w:rFonts w:ascii="Arial" w:cs="Arial" w:eastAsia="Arial" w:hAnsi="Arial"/>
                <w:sz w:val="16"/>
                <w:szCs w:val="16"/>
                <w:b w:val="1"/>
                <w:bCs w:val="1"/>
                <w:color w:val="auto"/>
              </w:rPr>
              <w:t>Claimed</w:t>
            </w:r>
          </w:p>
        </w:tc>
        <w:tc>
          <w:tcPr>
            <w:tcW w:w="20" w:type="dxa"/>
            <w:vAlign w:val="bottom"/>
          </w:tcPr>
          <w:p>
            <w:pPr>
              <w:spacing w:after="0"/>
              <w:rPr>
                <w:sz w:val="16"/>
                <w:szCs w:val="16"/>
                <w:color w:val="auto"/>
              </w:rPr>
            </w:pPr>
          </w:p>
        </w:tc>
        <w:tc>
          <w:tcPr>
            <w:tcW w:w="9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with Fee</w:t>
            </w:r>
          </w:p>
        </w:tc>
        <w:tc>
          <w:tcPr>
            <w:tcW w:w="20" w:type="dxa"/>
            <w:vAlign w:val="bottom"/>
          </w:tcPr>
          <w:p>
            <w:pPr>
              <w:spacing w:after="0"/>
              <w:rPr>
                <w:sz w:val="16"/>
                <w:szCs w:val="16"/>
                <w:color w:val="auto"/>
              </w:rPr>
            </w:pPr>
          </w:p>
        </w:tc>
        <w:tc>
          <w:tcPr>
            <w:tcW w:w="780" w:type="dxa"/>
            <w:vAlign w:val="bottom"/>
            <w:gridSpan w:val="2"/>
            <w:shd w:val="clear" w:color="auto" w:fill="9ADAF6"/>
          </w:tcPr>
          <w:p>
            <w:pPr>
              <w:jc w:val="center"/>
              <w:ind w:left="39"/>
              <w:spacing w:after="0"/>
              <w:rPr>
                <w:sz w:val="20"/>
                <w:szCs w:val="20"/>
                <w:color w:val="auto"/>
              </w:rPr>
            </w:pPr>
            <w:r>
              <w:rPr>
                <w:rFonts w:ascii="Arial" w:cs="Arial" w:eastAsia="Arial" w:hAnsi="Arial"/>
                <w:sz w:val="16"/>
                <w:szCs w:val="16"/>
                <w:b w:val="1"/>
                <w:bCs w:val="1"/>
                <w:color w:val="auto"/>
              </w:rPr>
              <w:t>with Fee</w:t>
            </w:r>
          </w:p>
        </w:tc>
        <w:tc>
          <w:tcPr>
            <w:tcW w:w="120" w:type="dxa"/>
            <w:vAlign w:val="bottom"/>
            <w:tcBorders>
              <w:left w:val="single" w:sz="8" w:color="9ADAF6"/>
            </w:tcBorders>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rPr>
              <w:t>with Fee</w:t>
            </w:r>
          </w:p>
        </w:tc>
        <w:tc>
          <w:tcPr>
            <w:tcW w:w="20" w:type="dxa"/>
            <w:vAlign w:val="bottom"/>
          </w:tcPr>
          <w:p>
            <w:pPr>
              <w:spacing w:after="0"/>
              <w:rPr>
                <w:sz w:val="16"/>
                <w:szCs w:val="16"/>
                <w:color w:val="auto"/>
              </w:rPr>
            </w:pPr>
          </w:p>
        </w:tc>
        <w:tc>
          <w:tcPr>
            <w:tcW w:w="96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rPr>
              <w:t>Associated</w:t>
            </w:r>
          </w:p>
        </w:tc>
        <w:tc>
          <w:tcPr>
            <w:tcW w:w="20" w:type="dxa"/>
            <w:vAlign w:val="bottom"/>
          </w:tcPr>
          <w:p>
            <w:pPr>
              <w:spacing w:after="0"/>
              <w:rPr>
                <w:sz w:val="16"/>
                <w:szCs w:val="16"/>
                <w:color w:val="auto"/>
              </w:rPr>
            </w:pPr>
          </w:p>
        </w:tc>
        <w:tc>
          <w:tcPr>
            <w:tcW w:w="64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Fee</w:t>
            </w:r>
          </w:p>
        </w:tc>
        <w:tc>
          <w:tcPr>
            <w:tcW w:w="20" w:type="dxa"/>
            <w:vAlign w:val="bottom"/>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3"/>
        </w:trPr>
        <w:tc>
          <w:tcPr>
            <w:tcW w:w="40" w:type="dxa"/>
            <w:vAlign w:val="bottom"/>
            <w:tcBorders>
              <w:left w:val="single" w:sz="8" w:color="auto"/>
            </w:tcBorders>
          </w:tcPr>
          <w:p>
            <w:pPr>
              <w:spacing w:after="0"/>
              <w:rPr>
                <w:sz w:val="9"/>
                <w:szCs w:val="9"/>
                <w:color w:val="auto"/>
              </w:rPr>
            </w:pPr>
          </w:p>
        </w:tc>
        <w:tc>
          <w:tcPr>
            <w:tcW w:w="440" w:type="dxa"/>
            <w:vAlign w:val="bottom"/>
            <w:shd w:val="clear" w:color="auto" w:fill="9ADAF6"/>
          </w:tcPr>
          <w:p>
            <w:pPr>
              <w:spacing w:after="0"/>
              <w:rPr>
                <w:sz w:val="9"/>
                <w:szCs w:val="9"/>
                <w:color w:val="auto"/>
              </w:rPr>
            </w:pPr>
          </w:p>
        </w:tc>
        <w:tc>
          <w:tcPr>
            <w:tcW w:w="20" w:type="dxa"/>
            <w:vAlign w:val="bottom"/>
            <w:shd w:val="clear" w:color="auto" w:fill="9ADAF6"/>
          </w:tcPr>
          <w:p>
            <w:pPr>
              <w:spacing w:after="0"/>
              <w:rPr>
                <w:sz w:val="9"/>
                <w:szCs w:val="9"/>
                <w:color w:val="auto"/>
              </w:rPr>
            </w:pPr>
          </w:p>
        </w:tc>
        <w:tc>
          <w:tcPr>
            <w:tcW w:w="520" w:type="dxa"/>
            <w:vAlign w:val="bottom"/>
            <w:shd w:val="clear" w:color="auto" w:fill="9ADAF6"/>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shd w:val="clear" w:color="auto" w:fill="9ADAF6"/>
          </w:tcPr>
          <w:p>
            <w:pPr>
              <w:spacing w:after="0"/>
              <w:rPr>
                <w:sz w:val="9"/>
                <w:szCs w:val="9"/>
                <w:color w:val="auto"/>
              </w:rPr>
            </w:pPr>
          </w:p>
        </w:tc>
        <w:tc>
          <w:tcPr>
            <w:tcW w:w="20" w:type="dxa"/>
            <w:vAlign w:val="bottom"/>
            <w:shd w:val="clear" w:color="auto" w:fill="9ADAF6"/>
          </w:tcPr>
          <w:p>
            <w:pPr>
              <w:spacing w:after="0"/>
              <w:rPr>
                <w:sz w:val="9"/>
                <w:szCs w:val="9"/>
                <w:color w:val="auto"/>
              </w:rPr>
            </w:pPr>
          </w:p>
        </w:tc>
        <w:tc>
          <w:tcPr>
            <w:tcW w:w="136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shd w:val="clear" w:color="auto" w:fill="9ADAF6"/>
          </w:tcPr>
          <w:p>
            <w:pPr>
              <w:jc w:val="center"/>
              <w:spacing w:after="0" w:line="113" w:lineRule="exact"/>
              <w:rPr>
                <w:sz w:val="20"/>
                <w:szCs w:val="20"/>
                <w:color w:val="auto"/>
              </w:rPr>
            </w:pPr>
            <w:r>
              <w:rPr>
                <w:rFonts w:ascii="Arial" w:cs="Arial" w:eastAsia="Arial" w:hAnsi="Arial"/>
                <w:sz w:val="13"/>
                <w:szCs w:val="13"/>
                <w:b w:val="1"/>
                <w:bCs w:val="1"/>
                <w:color w:val="auto"/>
              </w:rPr>
              <w:t>Type</w:t>
            </w:r>
          </w:p>
        </w:tc>
        <w:tc>
          <w:tcPr>
            <w:tcW w:w="20" w:type="dxa"/>
            <w:vAlign w:val="bottom"/>
          </w:tcPr>
          <w:p>
            <w:pPr>
              <w:spacing w:after="0"/>
              <w:rPr>
                <w:sz w:val="9"/>
                <w:szCs w:val="9"/>
                <w:color w:val="auto"/>
              </w:rPr>
            </w:pPr>
          </w:p>
        </w:tc>
        <w:tc>
          <w:tcPr>
            <w:tcW w:w="76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shd w:val="clear" w:color="auto" w:fill="9ADAF6"/>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shd w:val="clear" w:color="auto" w:fill="9ADAF6"/>
          </w:tcPr>
          <w:p>
            <w:pPr>
              <w:spacing w:after="0"/>
              <w:rPr>
                <w:sz w:val="9"/>
                <w:szCs w:val="9"/>
                <w:color w:val="auto"/>
              </w:rPr>
            </w:pPr>
          </w:p>
        </w:tc>
        <w:tc>
          <w:tcPr>
            <w:tcW w:w="20" w:type="dxa"/>
            <w:vAlign w:val="bottom"/>
            <w:shd w:val="clear" w:color="auto" w:fill="9ADAF6"/>
          </w:tcPr>
          <w:p>
            <w:pPr>
              <w:spacing w:after="0"/>
              <w:rPr>
                <w:sz w:val="9"/>
                <w:szCs w:val="9"/>
                <w:color w:val="auto"/>
              </w:rPr>
            </w:pPr>
          </w:p>
        </w:tc>
        <w:tc>
          <w:tcPr>
            <w:tcW w:w="34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shd w:val="clear" w:color="auto" w:fill="9ADAF6"/>
          </w:tcPr>
          <w:p>
            <w:pPr>
              <w:jc w:val="center"/>
              <w:spacing w:after="0" w:line="113"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9"/>
                <w:szCs w:val="9"/>
                <w:color w:val="auto"/>
              </w:rPr>
            </w:pPr>
          </w:p>
        </w:tc>
        <w:tc>
          <w:tcPr>
            <w:tcW w:w="780" w:type="dxa"/>
            <w:vAlign w:val="bottom"/>
            <w:gridSpan w:val="2"/>
            <w:shd w:val="clear" w:color="auto" w:fill="9ADAF6"/>
          </w:tcPr>
          <w:p>
            <w:pPr>
              <w:jc w:val="center"/>
              <w:ind w:left="59"/>
              <w:spacing w:after="0" w:line="113" w:lineRule="exact"/>
              <w:rPr>
                <w:sz w:val="20"/>
                <w:szCs w:val="20"/>
                <w:color w:val="auto"/>
              </w:rPr>
            </w:pPr>
            <w:r>
              <w:rPr>
                <w:rFonts w:ascii="Arial" w:cs="Arial" w:eastAsia="Arial" w:hAnsi="Arial"/>
                <w:sz w:val="13"/>
                <w:szCs w:val="13"/>
                <w:b w:val="1"/>
                <w:bCs w:val="1"/>
                <w:color w:val="auto"/>
              </w:rPr>
              <w:t>Offset</w:t>
            </w:r>
          </w:p>
        </w:tc>
        <w:tc>
          <w:tcPr>
            <w:tcW w:w="120" w:type="dxa"/>
            <w:vAlign w:val="bottom"/>
            <w:tcBorders>
              <w:left w:val="single" w:sz="8" w:color="9ADAF6"/>
            </w:tcBorders>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920" w:type="dxa"/>
            <w:vAlign w:val="bottom"/>
            <w:gridSpan w:val="3"/>
            <w:shd w:val="clear" w:color="auto" w:fill="9ADAF6"/>
          </w:tcPr>
          <w:p>
            <w:pPr>
              <w:jc w:val="center"/>
              <w:spacing w:after="0" w:line="113"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9"/>
                <w:szCs w:val="9"/>
                <w:color w:val="auto"/>
              </w:rPr>
            </w:pPr>
          </w:p>
        </w:tc>
        <w:tc>
          <w:tcPr>
            <w:tcW w:w="960" w:type="dxa"/>
            <w:vAlign w:val="bottom"/>
            <w:gridSpan w:val="3"/>
            <w:shd w:val="clear" w:color="auto" w:fill="9ADAF6"/>
          </w:tcPr>
          <w:p>
            <w:pPr>
              <w:jc w:val="center"/>
              <w:spacing w:after="0" w:line="113" w:lineRule="exact"/>
              <w:rPr>
                <w:sz w:val="20"/>
                <w:szCs w:val="20"/>
                <w:color w:val="auto"/>
              </w:rPr>
            </w:pPr>
            <w:r>
              <w:rPr>
                <w:rFonts w:ascii="Arial" w:cs="Arial" w:eastAsia="Arial" w:hAnsi="Arial"/>
                <w:sz w:val="13"/>
                <w:szCs w:val="13"/>
                <w:b w:val="1"/>
                <w:bCs w:val="1"/>
                <w:color w:val="auto"/>
              </w:rPr>
              <w:t>with Fee</w:t>
            </w:r>
          </w:p>
        </w:tc>
        <w:tc>
          <w:tcPr>
            <w:tcW w:w="20" w:type="dxa"/>
            <w:vAlign w:val="bottom"/>
          </w:tcPr>
          <w:p>
            <w:pPr>
              <w:spacing w:after="0"/>
              <w:rPr>
                <w:sz w:val="9"/>
                <w:szCs w:val="9"/>
                <w:color w:val="auto"/>
              </w:rPr>
            </w:pPr>
          </w:p>
        </w:tc>
        <w:tc>
          <w:tcPr>
            <w:tcW w:w="640" w:type="dxa"/>
            <w:vAlign w:val="bottom"/>
            <w:shd w:val="clear" w:color="auto" w:fill="9ADAF6"/>
          </w:tcPr>
          <w:p>
            <w:pPr>
              <w:jc w:val="center"/>
              <w:spacing w:after="0" w:line="113"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9"/>
                <w:szCs w:val="9"/>
                <w:color w:val="auto"/>
              </w:rPr>
            </w:pPr>
          </w:p>
        </w:tc>
        <w:tc>
          <w:tcPr>
            <w:tcW w:w="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3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Claimed</w:t>
            </w:r>
          </w:p>
        </w:tc>
        <w:tc>
          <w:tcPr>
            <w:tcW w:w="20" w:type="dxa"/>
            <w:vAlign w:val="bottom"/>
          </w:tcPr>
          <w:p>
            <w:pPr>
              <w:spacing w:after="0"/>
              <w:rPr>
                <w:sz w:val="16"/>
                <w:szCs w:val="16"/>
                <w:color w:val="auto"/>
              </w:rPr>
            </w:pPr>
          </w:p>
        </w:tc>
        <w:tc>
          <w:tcPr>
            <w:tcW w:w="780" w:type="dxa"/>
            <w:vAlign w:val="bottom"/>
            <w:gridSpan w:val="2"/>
            <w:shd w:val="clear" w:color="auto" w:fill="9ADAF6"/>
          </w:tcPr>
          <w:p>
            <w:pPr>
              <w:jc w:val="center"/>
              <w:ind w:left="59"/>
              <w:spacing w:after="0"/>
              <w:rPr>
                <w:sz w:val="20"/>
                <w:szCs w:val="20"/>
                <w:color w:val="auto"/>
              </w:rPr>
            </w:pPr>
            <w:r>
              <w:rPr>
                <w:rFonts w:ascii="Arial" w:cs="Arial" w:eastAsia="Arial" w:hAnsi="Arial"/>
                <w:sz w:val="16"/>
                <w:szCs w:val="16"/>
                <w:b w:val="1"/>
                <w:bCs w:val="1"/>
                <w:color w:val="auto"/>
              </w:rPr>
              <w:t>Claimed</w:t>
            </w:r>
          </w:p>
        </w:tc>
        <w:tc>
          <w:tcPr>
            <w:tcW w:w="120" w:type="dxa"/>
            <w:vAlign w:val="bottom"/>
            <w:tcBorders>
              <w:left w:val="single" w:sz="8" w:color="9ADAF6"/>
            </w:tcBorders>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rPr>
              <w:t>Claimed</w:t>
            </w:r>
          </w:p>
        </w:tc>
        <w:tc>
          <w:tcPr>
            <w:tcW w:w="20" w:type="dxa"/>
            <w:vAlign w:val="bottom"/>
          </w:tcPr>
          <w:p>
            <w:pPr>
              <w:spacing w:after="0"/>
              <w:rPr>
                <w:sz w:val="16"/>
                <w:szCs w:val="16"/>
                <w:color w:val="auto"/>
              </w:rPr>
            </w:pPr>
          </w:p>
        </w:tc>
        <w:tc>
          <w:tcPr>
            <w:tcW w:w="96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rPr>
              <w:t>Offset</w:t>
            </w:r>
          </w:p>
        </w:tc>
        <w:tc>
          <w:tcPr>
            <w:tcW w:w="20" w:type="dxa"/>
            <w:vAlign w:val="bottom"/>
          </w:tcPr>
          <w:p>
            <w:pPr>
              <w:spacing w:after="0"/>
              <w:rPr>
                <w:sz w:val="16"/>
                <w:szCs w:val="16"/>
                <w:color w:val="auto"/>
              </w:rPr>
            </w:pPr>
          </w:p>
        </w:tc>
        <w:tc>
          <w:tcPr>
            <w:tcW w:w="64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Source</w:t>
            </w:r>
          </w:p>
        </w:tc>
        <w:tc>
          <w:tcPr>
            <w:tcW w:w="20" w:type="dxa"/>
            <w:vAlign w:val="bottom"/>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0" w:type="dxa"/>
            <w:vAlign w:val="bottom"/>
            <w:tcBorders>
              <w:left w:val="single" w:sz="8" w:color="auto"/>
            </w:tcBorders>
          </w:tcPr>
          <w:p>
            <w:pPr>
              <w:spacing w:after="0"/>
              <w:rPr>
                <w:sz w:val="18"/>
                <w:szCs w:val="18"/>
                <w:color w:val="auto"/>
              </w:rPr>
            </w:pPr>
          </w:p>
        </w:tc>
        <w:tc>
          <w:tcPr>
            <w:tcW w:w="440" w:type="dxa"/>
            <w:vAlign w:val="bottom"/>
            <w:shd w:val="clear" w:color="auto" w:fill="9ADAF6"/>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520" w:type="dxa"/>
            <w:vAlign w:val="bottom"/>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shd w:val="clear" w:color="auto" w:fill="9ADAF6"/>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13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shd w:val="clear" w:color="auto" w:fill="9ADAF6"/>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3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9ADAF6"/>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120" w:type="dxa"/>
            <w:vAlign w:val="bottom"/>
            <w:tcBorders>
              <w:left w:val="single" w:sz="8" w:color="9ADAF6"/>
            </w:tcBorders>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shd w:val="clear" w:color="auto" w:fill="9ADAF6"/>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3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rPr>
              <w:t>Claimed</w:t>
            </w:r>
          </w:p>
        </w:tc>
        <w:tc>
          <w:tcPr>
            <w:tcW w:w="20" w:type="dxa"/>
            <w:vAlign w:val="bottom"/>
          </w:tcPr>
          <w:p>
            <w:pPr>
              <w:spacing w:after="0"/>
              <w:rPr>
                <w:sz w:val="18"/>
                <w:szCs w:val="18"/>
                <w:color w:val="auto"/>
              </w:rPr>
            </w:pPr>
          </w:p>
        </w:tc>
        <w:tc>
          <w:tcPr>
            <w:tcW w:w="6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0" w:type="dxa"/>
            <w:vAlign w:val="bottom"/>
            <w:tcBorders>
              <w:left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720" w:type="dxa"/>
            <w:vAlign w:val="bottom"/>
            <w:gridSpan w:val="9"/>
          </w:tcPr>
          <w:p>
            <w:pPr>
              <w:jc w:val="right"/>
              <w:ind w:right="58"/>
              <w:spacing w:after="0"/>
              <w:rPr>
                <w:sz w:val="20"/>
                <w:szCs w:val="20"/>
                <w:color w:val="auto"/>
              </w:rPr>
            </w:pPr>
            <w:r>
              <w:rPr>
                <w:rFonts w:ascii="Arial" w:cs="Arial" w:eastAsia="Arial" w:hAnsi="Arial"/>
                <w:sz w:val="16"/>
                <w:szCs w:val="16"/>
                <w:b w:val="1"/>
                <w:bCs w:val="1"/>
                <w:color w:val="auto"/>
              </w:rPr>
              <w:t>Rules 457(b) and 0-11(a)(2)</w:t>
            </w: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40" w:type="dxa"/>
            <w:vAlign w:val="bottom"/>
            <w:tcBorders>
              <w:left w:val="single" w:sz="8" w:color="auto"/>
            </w:tcBorders>
          </w:tcPr>
          <w:p>
            <w:pPr>
              <w:spacing w:after="0"/>
              <w:rPr>
                <w:sz w:val="15"/>
                <w:szCs w:val="15"/>
                <w:color w:val="auto"/>
              </w:rPr>
            </w:pPr>
          </w:p>
        </w:tc>
        <w:tc>
          <w:tcPr>
            <w:tcW w:w="980" w:type="dxa"/>
            <w:vAlign w:val="bottom"/>
            <w:gridSpan w:val="3"/>
            <w:shd w:val="clear" w:color="auto" w:fill="E7E7E2"/>
          </w:tcPr>
          <w:p>
            <w:pPr>
              <w:spacing w:after="0" w:line="181" w:lineRule="exact"/>
              <w:rPr>
                <w:sz w:val="20"/>
                <w:szCs w:val="20"/>
                <w:color w:val="auto"/>
              </w:rPr>
            </w:pPr>
            <w:r>
              <w:rPr>
                <w:rFonts w:ascii="Arial" w:cs="Arial" w:eastAsia="Arial" w:hAnsi="Arial"/>
                <w:sz w:val="16"/>
                <w:szCs w:val="16"/>
                <w:color w:val="auto"/>
              </w:rPr>
              <w:t>Fee Offset</w:t>
            </w:r>
          </w:p>
        </w:tc>
        <w:tc>
          <w:tcPr>
            <w:tcW w:w="40" w:type="dxa"/>
            <w:vAlign w:val="bottom"/>
          </w:tcPr>
          <w:p>
            <w:pPr>
              <w:spacing w:after="0"/>
              <w:rPr>
                <w:sz w:val="15"/>
                <w:szCs w:val="15"/>
                <w:color w:val="auto"/>
              </w:rPr>
            </w:pPr>
          </w:p>
        </w:tc>
        <w:tc>
          <w:tcPr>
            <w:tcW w:w="780" w:type="dxa"/>
            <w:vAlign w:val="bottom"/>
            <w:vMerge w:val="restart"/>
            <w:shd w:val="clear" w:color="auto" w:fill="E7E7E2"/>
          </w:tcPr>
          <w:p>
            <w:pPr>
              <w:ind w:left="240"/>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c>
          <w:tcPr>
            <w:tcW w:w="1580" w:type="dxa"/>
            <w:vAlign w:val="bottom"/>
            <w:gridSpan w:val="3"/>
            <w:vMerge w:val="restart"/>
            <w:shd w:val="clear" w:color="auto" w:fill="E7E7E2"/>
          </w:tcPr>
          <w:p>
            <w:pPr>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c>
          <w:tcPr>
            <w:tcW w:w="76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c>
          <w:tcPr>
            <w:tcW w:w="60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N/A</w:t>
            </w:r>
          </w:p>
        </w:tc>
        <w:tc>
          <w:tcPr>
            <w:tcW w:w="40" w:type="dxa"/>
            <w:vAlign w:val="bottom"/>
          </w:tcPr>
          <w:p>
            <w:pPr>
              <w:spacing w:after="0"/>
              <w:rPr>
                <w:sz w:val="15"/>
                <w:szCs w:val="15"/>
                <w:color w:val="auto"/>
              </w:rPr>
            </w:pPr>
          </w:p>
        </w:tc>
        <w:tc>
          <w:tcPr>
            <w:tcW w:w="60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c>
          <w:tcPr>
            <w:tcW w:w="3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4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c>
          <w:tcPr>
            <w:tcW w:w="90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c>
          <w:tcPr>
            <w:tcW w:w="780" w:type="dxa"/>
            <w:vAlign w:val="bottom"/>
            <w:gridSpan w:val="2"/>
            <w:vMerge w:val="restart"/>
            <w:shd w:val="clear" w:color="auto" w:fill="E7E7E2"/>
          </w:tcPr>
          <w:p>
            <w:pPr>
              <w:ind w:left="20"/>
              <w:spacing w:after="0"/>
              <w:rPr>
                <w:sz w:val="20"/>
                <w:szCs w:val="20"/>
                <w:color w:val="auto"/>
              </w:rPr>
            </w:pPr>
            <w:r>
              <w:rPr>
                <w:rFonts w:ascii="Arial" w:cs="Arial" w:eastAsia="Arial" w:hAnsi="Arial"/>
                <w:sz w:val="16"/>
                <w:szCs w:val="16"/>
                <w:color w:val="auto"/>
              </w:rPr>
              <w:t>N/A</w:t>
            </w:r>
          </w:p>
        </w:tc>
        <w:tc>
          <w:tcPr>
            <w:tcW w:w="120" w:type="dxa"/>
            <w:vAlign w:val="bottom"/>
            <w:tcBorders>
              <w:left w:val="single" w:sz="8" w:color="E7E7E2"/>
            </w:tcBorders>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80" w:type="dxa"/>
            <w:vAlign w:val="bottom"/>
            <w:vMerge w:val="restart"/>
            <w:shd w:val="clear" w:color="auto" w:fill="E7E7E2"/>
          </w:tcPr>
          <w:p>
            <w:pPr>
              <w:ind w:left="80"/>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c>
          <w:tcPr>
            <w:tcW w:w="960" w:type="dxa"/>
            <w:vAlign w:val="bottom"/>
            <w:gridSpan w:val="3"/>
            <w:vMerge w:val="restart"/>
            <w:shd w:val="clear" w:color="auto" w:fill="E7E7E2"/>
          </w:tcPr>
          <w:p>
            <w:pPr>
              <w:ind w:left="680"/>
              <w:spacing w:after="0"/>
              <w:rPr>
                <w:sz w:val="20"/>
                <w:szCs w:val="20"/>
                <w:color w:val="auto"/>
              </w:rPr>
            </w:pPr>
            <w:r>
              <w:rPr>
                <w:rFonts w:ascii="Arial" w:cs="Arial" w:eastAsia="Arial" w:hAnsi="Arial"/>
                <w:sz w:val="16"/>
                <w:szCs w:val="16"/>
                <w:color w:val="auto"/>
                <w:w w:val="97"/>
              </w:rPr>
              <w:t>N/A</w:t>
            </w:r>
          </w:p>
        </w:tc>
        <w:tc>
          <w:tcPr>
            <w:tcW w:w="20" w:type="dxa"/>
            <w:vAlign w:val="bottom"/>
          </w:tcPr>
          <w:p>
            <w:pPr>
              <w:spacing w:after="0"/>
              <w:rPr>
                <w:sz w:val="15"/>
                <w:szCs w:val="15"/>
                <w:color w:val="auto"/>
              </w:rPr>
            </w:pPr>
          </w:p>
        </w:tc>
        <w:tc>
          <w:tcPr>
            <w:tcW w:w="640" w:type="dxa"/>
            <w:vAlign w:val="bottom"/>
            <w:vMerge w:val="restart"/>
            <w:shd w:val="clear" w:color="auto" w:fill="E7E7E2"/>
          </w:tcPr>
          <w:p>
            <w:pPr>
              <w:ind w:left="360"/>
              <w:spacing w:after="0"/>
              <w:rPr>
                <w:sz w:val="20"/>
                <w:szCs w:val="20"/>
                <w:color w:val="auto"/>
              </w:rPr>
            </w:pPr>
            <w:r>
              <w:rPr>
                <w:rFonts w:ascii="Arial" w:cs="Arial" w:eastAsia="Arial" w:hAnsi="Arial"/>
                <w:sz w:val="16"/>
                <w:szCs w:val="16"/>
                <w:color w:val="auto"/>
                <w:w w:val="97"/>
              </w:rPr>
              <w:t>N/A</w:t>
            </w:r>
          </w:p>
        </w:tc>
        <w:tc>
          <w:tcPr>
            <w:tcW w:w="20" w:type="dxa"/>
            <w:vAlign w:val="bottom"/>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40" w:type="dxa"/>
            <w:vAlign w:val="bottom"/>
            <w:tcBorders>
              <w:left w:val="single" w:sz="8" w:color="auto"/>
            </w:tcBorders>
          </w:tcPr>
          <w:p>
            <w:pPr>
              <w:spacing w:after="0"/>
              <w:rPr>
                <w:sz w:val="10"/>
                <w:szCs w:val="10"/>
                <w:color w:val="auto"/>
              </w:rPr>
            </w:pPr>
          </w:p>
        </w:tc>
        <w:tc>
          <w:tcPr>
            <w:tcW w:w="980" w:type="dxa"/>
            <w:vAlign w:val="bottom"/>
            <w:gridSpan w:val="3"/>
            <w:vMerge w:val="restart"/>
            <w:shd w:val="clear" w:color="auto" w:fill="E7E7E2"/>
          </w:tcPr>
          <w:p>
            <w:pPr>
              <w:spacing w:after="0"/>
              <w:rPr>
                <w:sz w:val="20"/>
                <w:szCs w:val="20"/>
                <w:color w:val="auto"/>
              </w:rPr>
            </w:pPr>
            <w:r>
              <w:rPr>
                <w:rFonts w:ascii="Arial" w:cs="Arial" w:eastAsia="Arial" w:hAnsi="Arial"/>
                <w:sz w:val="16"/>
                <w:szCs w:val="16"/>
                <w:color w:val="auto"/>
              </w:rPr>
              <w:t>Claims</w:t>
            </w:r>
          </w:p>
        </w:tc>
        <w:tc>
          <w:tcPr>
            <w:tcW w:w="40" w:type="dxa"/>
            <w:vAlign w:val="bottom"/>
          </w:tcPr>
          <w:p>
            <w:pPr>
              <w:spacing w:after="0"/>
              <w:rPr>
                <w:sz w:val="10"/>
                <w:szCs w:val="10"/>
                <w:color w:val="auto"/>
              </w:rPr>
            </w:pPr>
          </w:p>
        </w:tc>
        <w:tc>
          <w:tcPr>
            <w:tcW w:w="78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580" w:type="dxa"/>
            <w:vAlign w:val="bottom"/>
            <w:gridSpan w:val="3"/>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vMerge w:val="continue"/>
            <w:shd w:val="clear" w:color="auto" w:fill="E7E7E2"/>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shd w:val="clear" w:color="auto" w:fill="E7E7E2"/>
          </w:tcPr>
          <w:p>
            <w:pPr>
              <w:spacing w:after="0"/>
              <w:rPr>
                <w:sz w:val="10"/>
                <w:szCs w:val="10"/>
                <w:color w:val="auto"/>
              </w:rPr>
            </w:pPr>
          </w:p>
        </w:tc>
        <w:tc>
          <w:tcPr>
            <w:tcW w:w="20" w:type="dxa"/>
            <w:vAlign w:val="bottom"/>
            <w:shd w:val="clear" w:color="auto" w:fill="E7E7E2"/>
          </w:tcPr>
          <w:p>
            <w:pPr>
              <w:spacing w:after="0"/>
              <w:rPr>
                <w:sz w:val="10"/>
                <w:szCs w:val="10"/>
                <w:color w:val="auto"/>
              </w:rPr>
            </w:pPr>
          </w:p>
        </w:tc>
        <w:tc>
          <w:tcPr>
            <w:tcW w:w="34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gridSpan w:val="2"/>
            <w:vMerge w:val="continue"/>
            <w:shd w:val="clear" w:color="auto" w:fill="E7E7E2"/>
          </w:tcPr>
          <w:p>
            <w:pPr>
              <w:spacing w:after="0"/>
              <w:rPr>
                <w:sz w:val="10"/>
                <w:szCs w:val="10"/>
                <w:color w:val="auto"/>
              </w:rPr>
            </w:pPr>
          </w:p>
        </w:tc>
        <w:tc>
          <w:tcPr>
            <w:tcW w:w="120" w:type="dxa"/>
            <w:vAlign w:val="bottom"/>
            <w:tcBorders>
              <w:left w:val="single" w:sz="8" w:color="E7E7E2"/>
            </w:tcBorders>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shd w:val="clear" w:color="auto" w:fill="E7E7E2"/>
          </w:tcPr>
          <w:p>
            <w:pPr>
              <w:spacing w:after="0"/>
              <w:rPr>
                <w:sz w:val="10"/>
                <w:szCs w:val="10"/>
                <w:color w:val="auto"/>
              </w:rPr>
            </w:pPr>
          </w:p>
        </w:tc>
        <w:tc>
          <w:tcPr>
            <w:tcW w:w="20" w:type="dxa"/>
            <w:vAlign w:val="bottom"/>
            <w:shd w:val="clear" w:color="auto" w:fill="E7E7E2"/>
          </w:tcPr>
          <w:p>
            <w:pPr>
              <w:spacing w:after="0"/>
              <w:rPr>
                <w:sz w:val="10"/>
                <w:szCs w:val="10"/>
                <w:color w:val="auto"/>
              </w:rPr>
            </w:pPr>
          </w:p>
        </w:tc>
        <w:tc>
          <w:tcPr>
            <w:tcW w:w="38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gridSpan w:val="3"/>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7"/>
                <w:szCs w:val="7"/>
                <w:color w:val="auto"/>
              </w:rPr>
            </w:pPr>
          </w:p>
        </w:tc>
        <w:tc>
          <w:tcPr>
            <w:tcW w:w="980" w:type="dxa"/>
            <w:vAlign w:val="bottom"/>
            <w:gridSpan w:val="3"/>
            <w:vMerge w:val="continue"/>
            <w:shd w:val="clear" w:color="auto" w:fill="E7E7E2"/>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shd w:val="clear" w:color="auto" w:fill="E7E7E2"/>
          </w:tcPr>
          <w:p>
            <w:pPr>
              <w:spacing w:after="0"/>
              <w:rPr>
                <w:sz w:val="7"/>
                <w:szCs w:val="7"/>
                <w:color w:val="auto"/>
              </w:rPr>
            </w:pPr>
          </w:p>
        </w:tc>
        <w:tc>
          <w:tcPr>
            <w:tcW w:w="20" w:type="dxa"/>
            <w:vAlign w:val="bottom"/>
            <w:shd w:val="clear" w:color="auto" w:fill="E7E7E2"/>
          </w:tcPr>
          <w:p>
            <w:pPr>
              <w:spacing w:after="0"/>
              <w:rPr>
                <w:sz w:val="7"/>
                <w:szCs w:val="7"/>
                <w:color w:val="auto"/>
              </w:rPr>
            </w:pPr>
          </w:p>
        </w:tc>
        <w:tc>
          <w:tcPr>
            <w:tcW w:w="13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shd w:val="clear" w:color="auto" w:fill="E7E7E2"/>
          </w:tcPr>
          <w:p>
            <w:pPr>
              <w:spacing w:after="0"/>
              <w:rPr>
                <w:sz w:val="7"/>
                <w:szCs w:val="7"/>
                <w:color w:val="auto"/>
              </w:rPr>
            </w:pPr>
          </w:p>
        </w:tc>
        <w:tc>
          <w:tcPr>
            <w:tcW w:w="40" w:type="dxa"/>
            <w:vAlign w:val="bottom"/>
          </w:tcPr>
          <w:p>
            <w:pPr>
              <w:spacing w:after="0"/>
              <w:rPr>
                <w:sz w:val="7"/>
                <w:szCs w:val="7"/>
                <w:color w:val="auto"/>
              </w:rPr>
            </w:pPr>
          </w:p>
        </w:tc>
        <w:tc>
          <w:tcPr>
            <w:tcW w:w="6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320" w:type="dxa"/>
            <w:vAlign w:val="bottom"/>
            <w:shd w:val="clear" w:color="auto" w:fill="E7E7E2"/>
          </w:tcPr>
          <w:p>
            <w:pPr>
              <w:spacing w:after="0"/>
              <w:rPr>
                <w:sz w:val="7"/>
                <w:szCs w:val="7"/>
                <w:color w:val="auto"/>
              </w:rPr>
            </w:pPr>
          </w:p>
        </w:tc>
        <w:tc>
          <w:tcPr>
            <w:tcW w:w="20" w:type="dxa"/>
            <w:vAlign w:val="bottom"/>
            <w:shd w:val="clear" w:color="auto" w:fill="E7E7E2"/>
          </w:tcPr>
          <w:p>
            <w:pPr>
              <w:spacing w:after="0"/>
              <w:rPr>
                <w:sz w:val="7"/>
                <w:szCs w:val="7"/>
                <w:color w:val="auto"/>
              </w:rPr>
            </w:pPr>
          </w:p>
        </w:tc>
        <w:tc>
          <w:tcPr>
            <w:tcW w:w="34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shd w:val="clear" w:color="auto" w:fill="E7E7E2"/>
          </w:tcPr>
          <w:p>
            <w:pPr>
              <w:spacing w:after="0"/>
              <w:rPr>
                <w:sz w:val="7"/>
                <w:szCs w:val="7"/>
                <w:color w:val="auto"/>
              </w:rPr>
            </w:pPr>
          </w:p>
        </w:tc>
        <w:tc>
          <w:tcPr>
            <w:tcW w:w="20" w:type="dxa"/>
            <w:vAlign w:val="bottom"/>
            <w:shd w:val="clear" w:color="auto" w:fill="E7E7E2"/>
          </w:tcPr>
          <w:p>
            <w:pPr>
              <w:spacing w:after="0"/>
              <w:rPr>
                <w:sz w:val="7"/>
                <w:szCs w:val="7"/>
                <w:color w:val="auto"/>
              </w:rPr>
            </w:pPr>
          </w:p>
        </w:tc>
        <w:tc>
          <w:tcPr>
            <w:tcW w:w="120" w:type="dxa"/>
            <w:vAlign w:val="bottom"/>
            <w:tcBorders>
              <w:left w:val="single" w:sz="8" w:color="E7E7E2"/>
            </w:tcBorders>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shd w:val="clear" w:color="auto" w:fill="E7E7E2"/>
          </w:tcPr>
          <w:p>
            <w:pPr>
              <w:spacing w:after="0"/>
              <w:rPr>
                <w:sz w:val="7"/>
                <w:szCs w:val="7"/>
                <w:color w:val="auto"/>
              </w:rPr>
            </w:pPr>
          </w:p>
        </w:tc>
        <w:tc>
          <w:tcPr>
            <w:tcW w:w="20" w:type="dxa"/>
            <w:vAlign w:val="bottom"/>
            <w:shd w:val="clear" w:color="auto" w:fill="E7E7E2"/>
          </w:tcPr>
          <w:p>
            <w:pPr>
              <w:spacing w:after="0"/>
              <w:rPr>
                <w:sz w:val="7"/>
                <w:szCs w:val="7"/>
                <w:color w:val="auto"/>
              </w:rPr>
            </w:pPr>
          </w:p>
        </w:tc>
        <w:tc>
          <w:tcPr>
            <w:tcW w:w="3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shd w:val="clear" w:color="auto" w:fill="E7E7E2"/>
          </w:tcPr>
          <w:p>
            <w:pPr>
              <w:spacing w:after="0"/>
              <w:rPr>
                <w:sz w:val="7"/>
                <w:szCs w:val="7"/>
                <w:color w:val="auto"/>
              </w:rPr>
            </w:pPr>
          </w:p>
        </w:tc>
        <w:tc>
          <w:tcPr>
            <w:tcW w:w="20" w:type="dxa"/>
            <w:vAlign w:val="bottom"/>
            <w:shd w:val="clear" w:color="auto" w:fill="E7E7E2"/>
          </w:tcPr>
          <w:p>
            <w:pPr>
              <w:spacing w:after="0"/>
              <w:rPr>
                <w:sz w:val="7"/>
                <w:szCs w:val="7"/>
                <w:color w:val="auto"/>
              </w:rPr>
            </w:pPr>
          </w:p>
        </w:tc>
        <w:tc>
          <w:tcPr>
            <w:tcW w:w="2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40" w:type="dxa"/>
            <w:vAlign w:val="bottom"/>
            <w:tcBorders>
              <w:left w:val="single" w:sz="8" w:color="auto"/>
            </w:tcBorders>
          </w:tcPr>
          <w:p>
            <w:pPr>
              <w:spacing w:after="0"/>
              <w:rPr>
                <w:sz w:val="15"/>
                <w:szCs w:val="15"/>
                <w:color w:val="auto"/>
              </w:rPr>
            </w:pPr>
          </w:p>
        </w:tc>
        <w:tc>
          <w:tcPr>
            <w:tcW w:w="980" w:type="dxa"/>
            <w:vAlign w:val="bottom"/>
            <w:gridSpan w:val="3"/>
            <w:shd w:val="clear" w:color="auto" w:fill="E7E7E2"/>
          </w:tcPr>
          <w:p>
            <w:pPr>
              <w:spacing w:after="0" w:line="175" w:lineRule="exact"/>
              <w:rPr>
                <w:sz w:val="20"/>
                <w:szCs w:val="20"/>
                <w:color w:val="auto"/>
              </w:rPr>
            </w:pPr>
            <w:r>
              <w:rPr>
                <w:rFonts w:ascii="Arial" w:cs="Arial" w:eastAsia="Arial" w:hAnsi="Arial"/>
                <w:sz w:val="16"/>
                <w:szCs w:val="16"/>
                <w:color w:val="auto"/>
              </w:rPr>
              <w:t>Fee Offset</w:t>
            </w:r>
          </w:p>
        </w:tc>
        <w:tc>
          <w:tcPr>
            <w:tcW w:w="40" w:type="dxa"/>
            <w:vAlign w:val="bottom"/>
          </w:tcPr>
          <w:p>
            <w:pPr>
              <w:spacing w:after="0"/>
              <w:rPr>
                <w:sz w:val="15"/>
                <w:szCs w:val="15"/>
                <w:color w:val="auto"/>
              </w:rPr>
            </w:pPr>
          </w:p>
        </w:tc>
        <w:tc>
          <w:tcPr>
            <w:tcW w:w="780" w:type="dxa"/>
            <w:vAlign w:val="bottom"/>
            <w:vMerge w:val="restart"/>
            <w:shd w:val="clear" w:color="auto" w:fill="E7E7E2"/>
          </w:tcPr>
          <w:p>
            <w:pPr>
              <w:ind w:left="240"/>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c>
          <w:tcPr>
            <w:tcW w:w="1580" w:type="dxa"/>
            <w:vAlign w:val="bottom"/>
            <w:gridSpan w:val="3"/>
            <w:vMerge w:val="restart"/>
            <w:shd w:val="clear" w:color="auto" w:fill="E7E7E2"/>
          </w:tcPr>
          <w:p>
            <w:pPr>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c>
          <w:tcPr>
            <w:tcW w:w="76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c>
          <w:tcPr>
            <w:tcW w:w="60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N/A</w:t>
            </w:r>
          </w:p>
        </w:tc>
        <w:tc>
          <w:tcPr>
            <w:tcW w:w="40" w:type="dxa"/>
            <w:vAlign w:val="bottom"/>
          </w:tcPr>
          <w:p>
            <w:pPr>
              <w:spacing w:after="0"/>
              <w:rPr>
                <w:sz w:val="15"/>
                <w:szCs w:val="15"/>
                <w:color w:val="auto"/>
              </w:rPr>
            </w:pPr>
          </w:p>
        </w:tc>
        <w:tc>
          <w:tcPr>
            <w:tcW w:w="60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c>
          <w:tcPr>
            <w:tcW w:w="3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4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c>
          <w:tcPr>
            <w:tcW w:w="90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c>
          <w:tcPr>
            <w:tcW w:w="780" w:type="dxa"/>
            <w:vAlign w:val="bottom"/>
            <w:gridSpan w:val="2"/>
            <w:vMerge w:val="restart"/>
            <w:shd w:val="clear" w:color="auto" w:fill="E7E7E2"/>
          </w:tcPr>
          <w:p>
            <w:pPr>
              <w:ind w:left="20"/>
              <w:spacing w:after="0"/>
              <w:rPr>
                <w:sz w:val="20"/>
                <w:szCs w:val="20"/>
                <w:color w:val="auto"/>
              </w:rPr>
            </w:pPr>
            <w:r>
              <w:rPr>
                <w:rFonts w:ascii="Arial" w:cs="Arial" w:eastAsia="Arial" w:hAnsi="Arial"/>
                <w:sz w:val="16"/>
                <w:szCs w:val="16"/>
                <w:color w:val="auto"/>
              </w:rPr>
              <w:t>N/A</w:t>
            </w:r>
          </w:p>
        </w:tc>
        <w:tc>
          <w:tcPr>
            <w:tcW w:w="120" w:type="dxa"/>
            <w:vAlign w:val="bottom"/>
            <w:tcBorders>
              <w:left w:val="single" w:sz="8" w:color="E7E7E2"/>
            </w:tcBorders>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80" w:type="dxa"/>
            <w:vAlign w:val="bottom"/>
            <w:vMerge w:val="restart"/>
            <w:shd w:val="clear" w:color="auto" w:fill="E7E7E2"/>
          </w:tcPr>
          <w:p>
            <w:pPr>
              <w:ind w:left="80"/>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c>
          <w:tcPr>
            <w:tcW w:w="960" w:type="dxa"/>
            <w:vAlign w:val="bottom"/>
            <w:gridSpan w:val="3"/>
            <w:vMerge w:val="restart"/>
            <w:shd w:val="clear" w:color="auto" w:fill="E7E7E2"/>
          </w:tcPr>
          <w:p>
            <w:pPr>
              <w:ind w:left="680"/>
              <w:spacing w:after="0"/>
              <w:rPr>
                <w:sz w:val="20"/>
                <w:szCs w:val="20"/>
                <w:color w:val="auto"/>
              </w:rPr>
            </w:pPr>
            <w:r>
              <w:rPr>
                <w:rFonts w:ascii="Arial" w:cs="Arial" w:eastAsia="Arial" w:hAnsi="Arial"/>
                <w:sz w:val="16"/>
                <w:szCs w:val="16"/>
                <w:color w:val="auto"/>
                <w:w w:val="97"/>
              </w:rPr>
              <w:t>N/A</w:t>
            </w:r>
          </w:p>
        </w:tc>
        <w:tc>
          <w:tcPr>
            <w:tcW w:w="20" w:type="dxa"/>
            <w:vAlign w:val="bottom"/>
          </w:tcPr>
          <w:p>
            <w:pPr>
              <w:spacing w:after="0"/>
              <w:rPr>
                <w:sz w:val="15"/>
                <w:szCs w:val="15"/>
                <w:color w:val="auto"/>
              </w:rPr>
            </w:pPr>
          </w:p>
        </w:tc>
        <w:tc>
          <w:tcPr>
            <w:tcW w:w="640" w:type="dxa"/>
            <w:vAlign w:val="bottom"/>
            <w:vMerge w:val="restart"/>
            <w:shd w:val="clear" w:color="auto" w:fill="E7E7E2"/>
          </w:tcPr>
          <w:p>
            <w:pPr>
              <w:ind w:left="360"/>
              <w:spacing w:after="0"/>
              <w:rPr>
                <w:sz w:val="20"/>
                <w:szCs w:val="20"/>
                <w:color w:val="auto"/>
              </w:rPr>
            </w:pPr>
            <w:r>
              <w:rPr>
                <w:rFonts w:ascii="Arial" w:cs="Arial" w:eastAsia="Arial" w:hAnsi="Arial"/>
                <w:sz w:val="16"/>
                <w:szCs w:val="16"/>
                <w:color w:val="auto"/>
                <w:w w:val="97"/>
              </w:rPr>
              <w:t>N/A</w:t>
            </w:r>
          </w:p>
        </w:tc>
        <w:tc>
          <w:tcPr>
            <w:tcW w:w="20" w:type="dxa"/>
            <w:vAlign w:val="bottom"/>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40" w:type="dxa"/>
            <w:vAlign w:val="bottom"/>
            <w:tcBorders>
              <w:left w:val="single" w:sz="8" w:color="auto"/>
            </w:tcBorders>
          </w:tcPr>
          <w:p>
            <w:pPr>
              <w:spacing w:after="0"/>
              <w:rPr>
                <w:sz w:val="10"/>
                <w:szCs w:val="10"/>
                <w:color w:val="auto"/>
              </w:rPr>
            </w:pPr>
          </w:p>
        </w:tc>
        <w:tc>
          <w:tcPr>
            <w:tcW w:w="980" w:type="dxa"/>
            <w:vAlign w:val="bottom"/>
            <w:gridSpan w:val="3"/>
            <w:vMerge w:val="restart"/>
            <w:shd w:val="clear" w:color="auto" w:fill="E7E7E2"/>
          </w:tcPr>
          <w:p>
            <w:pPr>
              <w:spacing w:after="0"/>
              <w:rPr>
                <w:sz w:val="20"/>
                <w:szCs w:val="20"/>
                <w:color w:val="auto"/>
              </w:rPr>
            </w:pPr>
            <w:r>
              <w:rPr>
                <w:rFonts w:ascii="Arial" w:cs="Arial" w:eastAsia="Arial" w:hAnsi="Arial"/>
                <w:sz w:val="16"/>
                <w:szCs w:val="16"/>
                <w:color w:val="auto"/>
              </w:rPr>
              <w:t>Sources</w:t>
            </w:r>
          </w:p>
        </w:tc>
        <w:tc>
          <w:tcPr>
            <w:tcW w:w="40" w:type="dxa"/>
            <w:vAlign w:val="bottom"/>
          </w:tcPr>
          <w:p>
            <w:pPr>
              <w:spacing w:after="0"/>
              <w:rPr>
                <w:sz w:val="10"/>
                <w:szCs w:val="10"/>
                <w:color w:val="auto"/>
              </w:rPr>
            </w:pPr>
          </w:p>
        </w:tc>
        <w:tc>
          <w:tcPr>
            <w:tcW w:w="78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580" w:type="dxa"/>
            <w:vAlign w:val="bottom"/>
            <w:gridSpan w:val="3"/>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vMerge w:val="continue"/>
            <w:shd w:val="clear" w:color="auto" w:fill="E7E7E2"/>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shd w:val="clear" w:color="auto" w:fill="E7E7E2"/>
          </w:tcPr>
          <w:p>
            <w:pPr>
              <w:spacing w:after="0"/>
              <w:rPr>
                <w:sz w:val="10"/>
                <w:szCs w:val="10"/>
                <w:color w:val="auto"/>
              </w:rPr>
            </w:pPr>
          </w:p>
        </w:tc>
        <w:tc>
          <w:tcPr>
            <w:tcW w:w="20" w:type="dxa"/>
            <w:vAlign w:val="bottom"/>
            <w:shd w:val="clear" w:color="auto" w:fill="E7E7E2"/>
          </w:tcPr>
          <w:p>
            <w:pPr>
              <w:spacing w:after="0"/>
              <w:rPr>
                <w:sz w:val="10"/>
                <w:szCs w:val="10"/>
                <w:color w:val="auto"/>
              </w:rPr>
            </w:pPr>
          </w:p>
        </w:tc>
        <w:tc>
          <w:tcPr>
            <w:tcW w:w="34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gridSpan w:val="2"/>
            <w:vMerge w:val="continue"/>
            <w:shd w:val="clear" w:color="auto" w:fill="E7E7E2"/>
          </w:tcPr>
          <w:p>
            <w:pPr>
              <w:spacing w:after="0"/>
              <w:rPr>
                <w:sz w:val="10"/>
                <w:szCs w:val="10"/>
                <w:color w:val="auto"/>
              </w:rPr>
            </w:pPr>
          </w:p>
        </w:tc>
        <w:tc>
          <w:tcPr>
            <w:tcW w:w="120" w:type="dxa"/>
            <w:vAlign w:val="bottom"/>
            <w:tcBorders>
              <w:left w:val="single" w:sz="8" w:color="E7E7E2"/>
            </w:tcBorders>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shd w:val="clear" w:color="auto" w:fill="E7E7E2"/>
          </w:tcPr>
          <w:p>
            <w:pPr>
              <w:spacing w:after="0"/>
              <w:rPr>
                <w:sz w:val="10"/>
                <w:szCs w:val="10"/>
                <w:color w:val="auto"/>
              </w:rPr>
            </w:pPr>
          </w:p>
        </w:tc>
        <w:tc>
          <w:tcPr>
            <w:tcW w:w="20" w:type="dxa"/>
            <w:vAlign w:val="bottom"/>
            <w:shd w:val="clear" w:color="auto" w:fill="E7E7E2"/>
          </w:tcPr>
          <w:p>
            <w:pPr>
              <w:spacing w:after="0"/>
              <w:rPr>
                <w:sz w:val="10"/>
                <w:szCs w:val="10"/>
                <w:color w:val="auto"/>
              </w:rPr>
            </w:pPr>
          </w:p>
        </w:tc>
        <w:tc>
          <w:tcPr>
            <w:tcW w:w="38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gridSpan w:val="3"/>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7"/>
                <w:szCs w:val="7"/>
                <w:color w:val="auto"/>
              </w:rPr>
            </w:pPr>
          </w:p>
        </w:tc>
        <w:tc>
          <w:tcPr>
            <w:tcW w:w="980" w:type="dxa"/>
            <w:vAlign w:val="bottom"/>
            <w:gridSpan w:val="3"/>
            <w:vMerge w:val="continue"/>
            <w:shd w:val="clear" w:color="auto" w:fill="E7E7E2"/>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shd w:val="clear" w:color="auto" w:fill="E7E7E2"/>
          </w:tcPr>
          <w:p>
            <w:pPr>
              <w:spacing w:after="0"/>
              <w:rPr>
                <w:sz w:val="7"/>
                <w:szCs w:val="7"/>
                <w:color w:val="auto"/>
              </w:rPr>
            </w:pPr>
          </w:p>
        </w:tc>
        <w:tc>
          <w:tcPr>
            <w:tcW w:w="20" w:type="dxa"/>
            <w:vAlign w:val="bottom"/>
            <w:shd w:val="clear" w:color="auto" w:fill="E7E7E2"/>
          </w:tcPr>
          <w:p>
            <w:pPr>
              <w:spacing w:after="0"/>
              <w:rPr>
                <w:sz w:val="7"/>
                <w:szCs w:val="7"/>
                <w:color w:val="auto"/>
              </w:rPr>
            </w:pPr>
          </w:p>
        </w:tc>
        <w:tc>
          <w:tcPr>
            <w:tcW w:w="13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shd w:val="clear" w:color="auto" w:fill="E7E7E2"/>
          </w:tcPr>
          <w:p>
            <w:pPr>
              <w:spacing w:after="0"/>
              <w:rPr>
                <w:sz w:val="7"/>
                <w:szCs w:val="7"/>
                <w:color w:val="auto"/>
              </w:rPr>
            </w:pPr>
          </w:p>
        </w:tc>
        <w:tc>
          <w:tcPr>
            <w:tcW w:w="40" w:type="dxa"/>
            <w:vAlign w:val="bottom"/>
          </w:tcPr>
          <w:p>
            <w:pPr>
              <w:spacing w:after="0"/>
              <w:rPr>
                <w:sz w:val="7"/>
                <w:szCs w:val="7"/>
                <w:color w:val="auto"/>
              </w:rPr>
            </w:pPr>
          </w:p>
        </w:tc>
        <w:tc>
          <w:tcPr>
            <w:tcW w:w="6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320" w:type="dxa"/>
            <w:vAlign w:val="bottom"/>
            <w:shd w:val="clear" w:color="auto" w:fill="E7E7E2"/>
          </w:tcPr>
          <w:p>
            <w:pPr>
              <w:spacing w:after="0"/>
              <w:rPr>
                <w:sz w:val="7"/>
                <w:szCs w:val="7"/>
                <w:color w:val="auto"/>
              </w:rPr>
            </w:pPr>
          </w:p>
        </w:tc>
        <w:tc>
          <w:tcPr>
            <w:tcW w:w="20" w:type="dxa"/>
            <w:vAlign w:val="bottom"/>
            <w:shd w:val="clear" w:color="auto" w:fill="E7E7E2"/>
          </w:tcPr>
          <w:p>
            <w:pPr>
              <w:spacing w:after="0"/>
              <w:rPr>
                <w:sz w:val="7"/>
                <w:szCs w:val="7"/>
                <w:color w:val="auto"/>
              </w:rPr>
            </w:pPr>
          </w:p>
        </w:tc>
        <w:tc>
          <w:tcPr>
            <w:tcW w:w="34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shd w:val="clear" w:color="auto" w:fill="E7E7E2"/>
          </w:tcPr>
          <w:p>
            <w:pPr>
              <w:spacing w:after="0"/>
              <w:rPr>
                <w:sz w:val="7"/>
                <w:szCs w:val="7"/>
                <w:color w:val="auto"/>
              </w:rPr>
            </w:pPr>
          </w:p>
        </w:tc>
        <w:tc>
          <w:tcPr>
            <w:tcW w:w="20" w:type="dxa"/>
            <w:vAlign w:val="bottom"/>
            <w:shd w:val="clear" w:color="auto" w:fill="E7E7E2"/>
          </w:tcPr>
          <w:p>
            <w:pPr>
              <w:spacing w:after="0"/>
              <w:rPr>
                <w:sz w:val="7"/>
                <w:szCs w:val="7"/>
                <w:color w:val="auto"/>
              </w:rPr>
            </w:pPr>
          </w:p>
        </w:tc>
        <w:tc>
          <w:tcPr>
            <w:tcW w:w="120" w:type="dxa"/>
            <w:vAlign w:val="bottom"/>
            <w:tcBorders>
              <w:left w:val="single" w:sz="8" w:color="E7E7E2"/>
            </w:tcBorders>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shd w:val="clear" w:color="auto" w:fill="E7E7E2"/>
          </w:tcPr>
          <w:p>
            <w:pPr>
              <w:spacing w:after="0"/>
              <w:rPr>
                <w:sz w:val="7"/>
                <w:szCs w:val="7"/>
                <w:color w:val="auto"/>
              </w:rPr>
            </w:pPr>
          </w:p>
        </w:tc>
        <w:tc>
          <w:tcPr>
            <w:tcW w:w="20" w:type="dxa"/>
            <w:vAlign w:val="bottom"/>
            <w:shd w:val="clear" w:color="auto" w:fill="E7E7E2"/>
          </w:tcPr>
          <w:p>
            <w:pPr>
              <w:spacing w:after="0"/>
              <w:rPr>
                <w:sz w:val="7"/>
                <w:szCs w:val="7"/>
                <w:color w:val="auto"/>
              </w:rPr>
            </w:pPr>
          </w:p>
        </w:tc>
        <w:tc>
          <w:tcPr>
            <w:tcW w:w="3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shd w:val="clear" w:color="auto" w:fill="E7E7E2"/>
          </w:tcPr>
          <w:p>
            <w:pPr>
              <w:spacing w:after="0"/>
              <w:rPr>
                <w:sz w:val="7"/>
                <w:szCs w:val="7"/>
                <w:color w:val="auto"/>
              </w:rPr>
            </w:pPr>
          </w:p>
        </w:tc>
        <w:tc>
          <w:tcPr>
            <w:tcW w:w="20" w:type="dxa"/>
            <w:vAlign w:val="bottom"/>
            <w:shd w:val="clear" w:color="auto" w:fill="E7E7E2"/>
          </w:tcPr>
          <w:p>
            <w:pPr>
              <w:spacing w:after="0"/>
              <w:rPr>
                <w:sz w:val="7"/>
                <w:szCs w:val="7"/>
                <w:color w:val="auto"/>
              </w:rPr>
            </w:pPr>
          </w:p>
        </w:tc>
        <w:tc>
          <w:tcPr>
            <w:tcW w:w="2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1"/>
        </w:trPr>
        <w:tc>
          <w:tcPr>
            <w:tcW w:w="40" w:type="dxa"/>
            <w:vAlign w:val="bottom"/>
            <w:tcBorders>
              <w:left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gridSpan w:val="3"/>
          </w:tcPr>
          <w:p>
            <w:pPr>
              <w:ind w:left="320"/>
              <w:spacing w:after="0"/>
              <w:rPr>
                <w:sz w:val="20"/>
                <w:szCs w:val="20"/>
                <w:color w:val="auto"/>
              </w:rPr>
            </w:pPr>
            <w:r>
              <w:rPr>
                <w:rFonts w:ascii="Arial" w:cs="Arial" w:eastAsia="Arial" w:hAnsi="Arial"/>
                <w:sz w:val="16"/>
                <w:szCs w:val="16"/>
                <w:b w:val="1"/>
                <w:bCs w:val="1"/>
                <w:color w:val="auto"/>
              </w:rPr>
              <w:t>Rule 457(p)</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40" w:type="dxa"/>
            <w:vAlign w:val="bottom"/>
            <w:tcBorders>
              <w:left w:val="single" w:sz="8" w:color="auto"/>
            </w:tcBorders>
          </w:tcPr>
          <w:p>
            <w:pPr>
              <w:spacing w:after="0"/>
              <w:rPr>
                <w:sz w:val="15"/>
                <w:szCs w:val="15"/>
                <w:color w:val="auto"/>
              </w:rPr>
            </w:pPr>
          </w:p>
        </w:tc>
        <w:tc>
          <w:tcPr>
            <w:tcW w:w="980" w:type="dxa"/>
            <w:vAlign w:val="bottom"/>
            <w:gridSpan w:val="3"/>
            <w:shd w:val="clear" w:color="auto" w:fill="E7E7E2"/>
          </w:tcPr>
          <w:p>
            <w:pPr>
              <w:spacing w:after="0" w:line="181" w:lineRule="exact"/>
              <w:rPr>
                <w:sz w:val="20"/>
                <w:szCs w:val="20"/>
                <w:color w:val="auto"/>
              </w:rPr>
            </w:pPr>
            <w:r>
              <w:rPr>
                <w:rFonts w:ascii="Arial" w:cs="Arial" w:eastAsia="Arial" w:hAnsi="Arial"/>
                <w:sz w:val="16"/>
                <w:szCs w:val="16"/>
                <w:color w:val="auto"/>
              </w:rPr>
              <w:t>Fee Offset</w:t>
            </w:r>
          </w:p>
        </w:tc>
        <w:tc>
          <w:tcPr>
            <w:tcW w:w="40" w:type="dxa"/>
            <w:vAlign w:val="bottom"/>
          </w:tcPr>
          <w:p>
            <w:pPr>
              <w:spacing w:after="0"/>
              <w:rPr>
                <w:sz w:val="15"/>
                <w:szCs w:val="15"/>
                <w:color w:val="auto"/>
              </w:rPr>
            </w:pPr>
          </w:p>
        </w:tc>
        <w:tc>
          <w:tcPr>
            <w:tcW w:w="780" w:type="dxa"/>
            <w:vAlign w:val="bottom"/>
            <w:vMerge w:val="restart"/>
            <w:shd w:val="clear" w:color="auto" w:fill="E7E7E2"/>
          </w:tcPr>
          <w:p>
            <w:pPr>
              <w:ind w:left="240"/>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c>
          <w:tcPr>
            <w:tcW w:w="1580" w:type="dxa"/>
            <w:vAlign w:val="bottom"/>
            <w:gridSpan w:val="3"/>
            <w:vMerge w:val="restart"/>
            <w:shd w:val="clear" w:color="auto" w:fill="E7E7E2"/>
          </w:tcPr>
          <w:p>
            <w:pPr>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c>
          <w:tcPr>
            <w:tcW w:w="76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c>
          <w:tcPr>
            <w:tcW w:w="60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N/A</w:t>
            </w:r>
          </w:p>
        </w:tc>
        <w:tc>
          <w:tcPr>
            <w:tcW w:w="40" w:type="dxa"/>
            <w:vAlign w:val="bottom"/>
          </w:tcPr>
          <w:p>
            <w:pPr>
              <w:spacing w:after="0"/>
              <w:rPr>
                <w:sz w:val="15"/>
                <w:szCs w:val="15"/>
                <w:color w:val="auto"/>
              </w:rPr>
            </w:pPr>
          </w:p>
        </w:tc>
        <w:tc>
          <w:tcPr>
            <w:tcW w:w="60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c>
          <w:tcPr>
            <w:tcW w:w="3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4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c>
          <w:tcPr>
            <w:tcW w:w="90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c>
          <w:tcPr>
            <w:tcW w:w="780" w:type="dxa"/>
            <w:vAlign w:val="bottom"/>
            <w:gridSpan w:val="2"/>
            <w:vMerge w:val="restart"/>
            <w:shd w:val="clear" w:color="auto" w:fill="E7E7E2"/>
          </w:tcPr>
          <w:p>
            <w:pPr>
              <w:ind w:left="20"/>
              <w:spacing w:after="0"/>
              <w:rPr>
                <w:sz w:val="20"/>
                <w:szCs w:val="20"/>
                <w:color w:val="auto"/>
              </w:rPr>
            </w:pPr>
            <w:r>
              <w:rPr>
                <w:rFonts w:ascii="Arial" w:cs="Arial" w:eastAsia="Arial" w:hAnsi="Arial"/>
                <w:sz w:val="16"/>
                <w:szCs w:val="16"/>
                <w:color w:val="auto"/>
              </w:rPr>
              <w:t>N/A</w:t>
            </w:r>
          </w:p>
        </w:tc>
        <w:tc>
          <w:tcPr>
            <w:tcW w:w="120" w:type="dxa"/>
            <w:vAlign w:val="bottom"/>
            <w:tcBorders>
              <w:left w:val="single" w:sz="8" w:color="E7E7E2"/>
            </w:tcBorders>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80" w:type="dxa"/>
            <w:vAlign w:val="bottom"/>
            <w:vMerge w:val="restart"/>
            <w:shd w:val="clear" w:color="auto" w:fill="E7E7E2"/>
          </w:tcPr>
          <w:p>
            <w:pPr>
              <w:ind w:left="80"/>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c>
          <w:tcPr>
            <w:tcW w:w="960" w:type="dxa"/>
            <w:vAlign w:val="bottom"/>
            <w:gridSpan w:val="3"/>
            <w:vMerge w:val="restart"/>
            <w:shd w:val="clear" w:color="auto" w:fill="E7E7E2"/>
          </w:tcPr>
          <w:p>
            <w:pPr>
              <w:ind w:left="680"/>
              <w:spacing w:after="0"/>
              <w:rPr>
                <w:sz w:val="20"/>
                <w:szCs w:val="20"/>
                <w:color w:val="auto"/>
              </w:rPr>
            </w:pPr>
            <w:r>
              <w:rPr>
                <w:rFonts w:ascii="Arial" w:cs="Arial" w:eastAsia="Arial" w:hAnsi="Arial"/>
                <w:sz w:val="16"/>
                <w:szCs w:val="16"/>
                <w:color w:val="auto"/>
                <w:w w:val="97"/>
              </w:rPr>
              <w:t>N/A</w:t>
            </w:r>
          </w:p>
        </w:tc>
        <w:tc>
          <w:tcPr>
            <w:tcW w:w="20" w:type="dxa"/>
            <w:vAlign w:val="bottom"/>
          </w:tcPr>
          <w:p>
            <w:pPr>
              <w:spacing w:after="0"/>
              <w:rPr>
                <w:sz w:val="15"/>
                <w:szCs w:val="15"/>
                <w:color w:val="auto"/>
              </w:rPr>
            </w:pPr>
          </w:p>
        </w:tc>
        <w:tc>
          <w:tcPr>
            <w:tcW w:w="640" w:type="dxa"/>
            <w:vAlign w:val="bottom"/>
            <w:vMerge w:val="restart"/>
            <w:shd w:val="clear" w:color="auto" w:fill="E7E7E2"/>
          </w:tcPr>
          <w:p>
            <w:pPr>
              <w:ind w:left="360"/>
              <w:spacing w:after="0"/>
              <w:rPr>
                <w:sz w:val="20"/>
                <w:szCs w:val="20"/>
                <w:color w:val="auto"/>
              </w:rPr>
            </w:pPr>
            <w:r>
              <w:rPr>
                <w:rFonts w:ascii="Arial" w:cs="Arial" w:eastAsia="Arial" w:hAnsi="Arial"/>
                <w:sz w:val="16"/>
                <w:szCs w:val="16"/>
                <w:color w:val="auto"/>
                <w:w w:val="97"/>
              </w:rPr>
              <w:t>N/A</w:t>
            </w:r>
          </w:p>
        </w:tc>
        <w:tc>
          <w:tcPr>
            <w:tcW w:w="20" w:type="dxa"/>
            <w:vAlign w:val="bottom"/>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40" w:type="dxa"/>
            <w:vAlign w:val="bottom"/>
            <w:tcBorders>
              <w:left w:val="single" w:sz="8" w:color="auto"/>
            </w:tcBorders>
          </w:tcPr>
          <w:p>
            <w:pPr>
              <w:spacing w:after="0"/>
              <w:rPr>
                <w:sz w:val="10"/>
                <w:szCs w:val="10"/>
                <w:color w:val="auto"/>
              </w:rPr>
            </w:pPr>
          </w:p>
        </w:tc>
        <w:tc>
          <w:tcPr>
            <w:tcW w:w="980" w:type="dxa"/>
            <w:vAlign w:val="bottom"/>
            <w:gridSpan w:val="3"/>
            <w:vMerge w:val="restart"/>
            <w:shd w:val="clear" w:color="auto" w:fill="E7E7E2"/>
          </w:tcPr>
          <w:p>
            <w:pPr>
              <w:spacing w:after="0"/>
              <w:rPr>
                <w:sz w:val="20"/>
                <w:szCs w:val="20"/>
                <w:color w:val="auto"/>
              </w:rPr>
            </w:pPr>
            <w:r>
              <w:rPr>
                <w:rFonts w:ascii="Arial" w:cs="Arial" w:eastAsia="Arial" w:hAnsi="Arial"/>
                <w:sz w:val="16"/>
                <w:szCs w:val="16"/>
                <w:color w:val="auto"/>
              </w:rPr>
              <w:t>Claims</w:t>
            </w:r>
          </w:p>
        </w:tc>
        <w:tc>
          <w:tcPr>
            <w:tcW w:w="40" w:type="dxa"/>
            <w:vAlign w:val="bottom"/>
          </w:tcPr>
          <w:p>
            <w:pPr>
              <w:spacing w:after="0"/>
              <w:rPr>
                <w:sz w:val="10"/>
                <w:szCs w:val="10"/>
                <w:color w:val="auto"/>
              </w:rPr>
            </w:pPr>
          </w:p>
        </w:tc>
        <w:tc>
          <w:tcPr>
            <w:tcW w:w="78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580" w:type="dxa"/>
            <w:vAlign w:val="bottom"/>
            <w:gridSpan w:val="3"/>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vMerge w:val="continue"/>
            <w:shd w:val="clear" w:color="auto" w:fill="E7E7E2"/>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shd w:val="clear" w:color="auto" w:fill="E7E7E2"/>
          </w:tcPr>
          <w:p>
            <w:pPr>
              <w:spacing w:after="0"/>
              <w:rPr>
                <w:sz w:val="10"/>
                <w:szCs w:val="10"/>
                <w:color w:val="auto"/>
              </w:rPr>
            </w:pPr>
          </w:p>
        </w:tc>
        <w:tc>
          <w:tcPr>
            <w:tcW w:w="20" w:type="dxa"/>
            <w:vAlign w:val="bottom"/>
            <w:shd w:val="clear" w:color="auto" w:fill="E7E7E2"/>
          </w:tcPr>
          <w:p>
            <w:pPr>
              <w:spacing w:after="0"/>
              <w:rPr>
                <w:sz w:val="10"/>
                <w:szCs w:val="10"/>
                <w:color w:val="auto"/>
              </w:rPr>
            </w:pPr>
          </w:p>
        </w:tc>
        <w:tc>
          <w:tcPr>
            <w:tcW w:w="34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gridSpan w:val="2"/>
            <w:vMerge w:val="continue"/>
            <w:shd w:val="clear" w:color="auto" w:fill="E7E7E2"/>
          </w:tcPr>
          <w:p>
            <w:pPr>
              <w:spacing w:after="0"/>
              <w:rPr>
                <w:sz w:val="10"/>
                <w:szCs w:val="10"/>
                <w:color w:val="auto"/>
              </w:rPr>
            </w:pPr>
          </w:p>
        </w:tc>
        <w:tc>
          <w:tcPr>
            <w:tcW w:w="120" w:type="dxa"/>
            <w:vAlign w:val="bottom"/>
            <w:tcBorders>
              <w:left w:val="single" w:sz="8" w:color="E7E7E2"/>
            </w:tcBorders>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shd w:val="clear" w:color="auto" w:fill="E7E7E2"/>
          </w:tcPr>
          <w:p>
            <w:pPr>
              <w:spacing w:after="0"/>
              <w:rPr>
                <w:sz w:val="10"/>
                <w:szCs w:val="10"/>
                <w:color w:val="auto"/>
              </w:rPr>
            </w:pPr>
          </w:p>
        </w:tc>
        <w:tc>
          <w:tcPr>
            <w:tcW w:w="20" w:type="dxa"/>
            <w:vAlign w:val="bottom"/>
            <w:shd w:val="clear" w:color="auto" w:fill="E7E7E2"/>
          </w:tcPr>
          <w:p>
            <w:pPr>
              <w:spacing w:after="0"/>
              <w:rPr>
                <w:sz w:val="10"/>
                <w:szCs w:val="10"/>
                <w:color w:val="auto"/>
              </w:rPr>
            </w:pPr>
          </w:p>
        </w:tc>
        <w:tc>
          <w:tcPr>
            <w:tcW w:w="38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gridSpan w:val="3"/>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7"/>
                <w:szCs w:val="7"/>
                <w:color w:val="auto"/>
              </w:rPr>
            </w:pPr>
          </w:p>
        </w:tc>
        <w:tc>
          <w:tcPr>
            <w:tcW w:w="980" w:type="dxa"/>
            <w:vAlign w:val="bottom"/>
            <w:gridSpan w:val="3"/>
            <w:vMerge w:val="continue"/>
            <w:shd w:val="clear" w:color="auto" w:fill="E7E7E2"/>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shd w:val="clear" w:color="auto" w:fill="E7E7E2"/>
          </w:tcPr>
          <w:p>
            <w:pPr>
              <w:spacing w:after="0"/>
              <w:rPr>
                <w:sz w:val="7"/>
                <w:szCs w:val="7"/>
                <w:color w:val="auto"/>
              </w:rPr>
            </w:pPr>
          </w:p>
        </w:tc>
        <w:tc>
          <w:tcPr>
            <w:tcW w:w="20" w:type="dxa"/>
            <w:vAlign w:val="bottom"/>
            <w:shd w:val="clear" w:color="auto" w:fill="E7E7E2"/>
          </w:tcPr>
          <w:p>
            <w:pPr>
              <w:spacing w:after="0"/>
              <w:rPr>
                <w:sz w:val="7"/>
                <w:szCs w:val="7"/>
                <w:color w:val="auto"/>
              </w:rPr>
            </w:pPr>
          </w:p>
        </w:tc>
        <w:tc>
          <w:tcPr>
            <w:tcW w:w="13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shd w:val="clear" w:color="auto" w:fill="E7E7E2"/>
          </w:tcPr>
          <w:p>
            <w:pPr>
              <w:spacing w:after="0"/>
              <w:rPr>
                <w:sz w:val="7"/>
                <w:szCs w:val="7"/>
                <w:color w:val="auto"/>
              </w:rPr>
            </w:pPr>
          </w:p>
        </w:tc>
        <w:tc>
          <w:tcPr>
            <w:tcW w:w="40" w:type="dxa"/>
            <w:vAlign w:val="bottom"/>
          </w:tcPr>
          <w:p>
            <w:pPr>
              <w:spacing w:after="0"/>
              <w:rPr>
                <w:sz w:val="7"/>
                <w:szCs w:val="7"/>
                <w:color w:val="auto"/>
              </w:rPr>
            </w:pPr>
          </w:p>
        </w:tc>
        <w:tc>
          <w:tcPr>
            <w:tcW w:w="6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320" w:type="dxa"/>
            <w:vAlign w:val="bottom"/>
            <w:shd w:val="clear" w:color="auto" w:fill="E7E7E2"/>
          </w:tcPr>
          <w:p>
            <w:pPr>
              <w:spacing w:after="0"/>
              <w:rPr>
                <w:sz w:val="7"/>
                <w:szCs w:val="7"/>
                <w:color w:val="auto"/>
              </w:rPr>
            </w:pPr>
          </w:p>
        </w:tc>
        <w:tc>
          <w:tcPr>
            <w:tcW w:w="20" w:type="dxa"/>
            <w:vAlign w:val="bottom"/>
            <w:shd w:val="clear" w:color="auto" w:fill="E7E7E2"/>
          </w:tcPr>
          <w:p>
            <w:pPr>
              <w:spacing w:after="0"/>
              <w:rPr>
                <w:sz w:val="7"/>
                <w:szCs w:val="7"/>
                <w:color w:val="auto"/>
              </w:rPr>
            </w:pPr>
          </w:p>
        </w:tc>
        <w:tc>
          <w:tcPr>
            <w:tcW w:w="34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shd w:val="clear" w:color="auto" w:fill="E7E7E2"/>
          </w:tcPr>
          <w:p>
            <w:pPr>
              <w:spacing w:after="0"/>
              <w:rPr>
                <w:sz w:val="7"/>
                <w:szCs w:val="7"/>
                <w:color w:val="auto"/>
              </w:rPr>
            </w:pPr>
          </w:p>
        </w:tc>
        <w:tc>
          <w:tcPr>
            <w:tcW w:w="20" w:type="dxa"/>
            <w:vAlign w:val="bottom"/>
            <w:shd w:val="clear" w:color="auto" w:fill="E7E7E2"/>
          </w:tcPr>
          <w:p>
            <w:pPr>
              <w:spacing w:after="0"/>
              <w:rPr>
                <w:sz w:val="7"/>
                <w:szCs w:val="7"/>
                <w:color w:val="auto"/>
              </w:rPr>
            </w:pPr>
          </w:p>
        </w:tc>
        <w:tc>
          <w:tcPr>
            <w:tcW w:w="120" w:type="dxa"/>
            <w:vAlign w:val="bottom"/>
            <w:tcBorders>
              <w:left w:val="single" w:sz="8" w:color="E7E7E2"/>
            </w:tcBorders>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shd w:val="clear" w:color="auto" w:fill="E7E7E2"/>
          </w:tcPr>
          <w:p>
            <w:pPr>
              <w:spacing w:after="0"/>
              <w:rPr>
                <w:sz w:val="7"/>
                <w:szCs w:val="7"/>
                <w:color w:val="auto"/>
              </w:rPr>
            </w:pPr>
          </w:p>
        </w:tc>
        <w:tc>
          <w:tcPr>
            <w:tcW w:w="20" w:type="dxa"/>
            <w:vAlign w:val="bottom"/>
            <w:shd w:val="clear" w:color="auto" w:fill="E7E7E2"/>
          </w:tcPr>
          <w:p>
            <w:pPr>
              <w:spacing w:after="0"/>
              <w:rPr>
                <w:sz w:val="7"/>
                <w:szCs w:val="7"/>
                <w:color w:val="auto"/>
              </w:rPr>
            </w:pPr>
          </w:p>
        </w:tc>
        <w:tc>
          <w:tcPr>
            <w:tcW w:w="3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shd w:val="clear" w:color="auto" w:fill="E7E7E2"/>
          </w:tcPr>
          <w:p>
            <w:pPr>
              <w:spacing w:after="0"/>
              <w:rPr>
                <w:sz w:val="7"/>
                <w:szCs w:val="7"/>
                <w:color w:val="auto"/>
              </w:rPr>
            </w:pPr>
          </w:p>
        </w:tc>
        <w:tc>
          <w:tcPr>
            <w:tcW w:w="20" w:type="dxa"/>
            <w:vAlign w:val="bottom"/>
            <w:shd w:val="clear" w:color="auto" w:fill="E7E7E2"/>
          </w:tcPr>
          <w:p>
            <w:pPr>
              <w:spacing w:after="0"/>
              <w:rPr>
                <w:sz w:val="7"/>
                <w:szCs w:val="7"/>
                <w:color w:val="auto"/>
              </w:rPr>
            </w:pPr>
          </w:p>
        </w:tc>
        <w:tc>
          <w:tcPr>
            <w:tcW w:w="2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40" w:type="dxa"/>
            <w:vAlign w:val="bottom"/>
            <w:tcBorders>
              <w:left w:val="single" w:sz="8" w:color="auto"/>
            </w:tcBorders>
          </w:tcPr>
          <w:p>
            <w:pPr>
              <w:spacing w:after="0"/>
              <w:rPr>
                <w:sz w:val="15"/>
                <w:szCs w:val="15"/>
                <w:color w:val="auto"/>
              </w:rPr>
            </w:pPr>
          </w:p>
        </w:tc>
        <w:tc>
          <w:tcPr>
            <w:tcW w:w="980" w:type="dxa"/>
            <w:vAlign w:val="bottom"/>
            <w:gridSpan w:val="3"/>
            <w:shd w:val="clear" w:color="auto" w:fill="E7E7E2"/>
          </w:tcPr>
          <w:p>
            <w:pPr>
              <w:spacing w:after="0" w:line="175" w:lineRule="exact"/>
              <w:rPr>
                <w:sz w:val="20"/>
                <w:szCs w:val="20"/>
                <w:color w:val="auto"/>
              </w:rPr>
            </w:pPr>
            <w:r>
              <w:rPr>
                <w:rFonts w:ascii="Arial" w:cs="Arial" w:eastAsia="Arial" w:hAnsi="Arial"/>
                <w:sz w:val="16"/>
                <w:szCs w:val="16"/>
                <w:color w:val="auto"/>
              </w:rPr>
              <w:t>Fee Offset</w:t>
            </w:r>
          </w:p>
        </w:tc>
        <w:tc>
          <w:tcPr>
            <w:tcW w:w="40" w:type="dxa"/>
            <w:vAlign w:val="bottom"/>
          </w:tcPr>
          <w:p>
            <w:pPr>
              <w:spacing w:after="0"/>
              <w:rPr>
                <w:sz w:val="15"/>
                <w:szCs w:val="15"/>
                <w:color w:val="auto"/>
              </w:rPr>
            </w:pPr>
          </w:p>
        </w:tc>
        <w:tc>
          <w:tcPr>
            <w:tcW w:w="780" w:type="dxa"/>
            <w:vAlign w:val="bottom"/>
            <w:vMerge w:val="restart"/>
            <w:shd w:val="clear" w:color="auto" w:fill="E7E7E2"/>
          </w:tcPr>
          <w:p>
            <w:pPr>
              <w:ind w:left="240"/>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c>
          <w:tcPr>
            <w:tcW w:w="1580" w:type="dxa"/>
            <w:vAlign w:val="bottom"/>
            <w:gridSpan w:val="3"/>
            <w:vMerge w:val="restart"/>
            <w:shd w:val="clear" w:color="auto" w:fill="E7E7E2"/>
          </w:tcPr>
          <w:p>
            <w:pPr>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c>
          <w:tcPr>
            <w:tcW w:w="76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c>
          <w:tcPr>
            <w:tcW w:w="60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N/A</w:t>
            </w:r>
          </w:p>
        </w:tc>
        <w:tc>
          <w:tcPr>
            <w:tcW w:w="40" w:type="dxa"/>
            <w:vAlign w:val="bottom"/>
          </w:tcPr>
          <w:p>
            <w:pPr>
              <w:spacing w:after="0"/>
              <w:rPr>
                <w:sz w:val="15"/>
                <w:szCs w:val="15"/>
                <w:color w:val="auto"/>
              </w:rPr>
            </w:pPr>
          </w:p>
        </w:tc>
        <w:tc>
          <w:tcPr>
            <w:tcW w:w="60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c>
          <w:tcPr>
            <w:tcW w:w="3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4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c>
          <w:tcPr>
            <w:tcW w:w="90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c>
          <w:tcPr>
            <w:tcW w:w="780" w:type="dxa"/>
            <w:vAlign w:val="bottom"/>
            <w:gridSpan w:val="2"/>
            <w:vMerge w:val="restart"/>
            <w:shd w:val="clear" w:color="auto" w:fill="E7E7E2"/>
          </w:tcPr>
          <w:p>
            <w:pPr>
              <w:ind w:left="20"/>
              <w:spacing w:after="0"/>
              <w:rPr>
                <w:sz w:val="20"/>
                <w:szCs w:val="20"/>
                <w:color w:val="auto"/>
              </w:rPr>
            </w:pPr>
            <w:r>
              <w:rPr>
                <w:rFonts w:ascii="Arial" w:cs="Arial" w:eastAsia="Arial" w:hAnsi="Arial"/>
                <w:sz w:val="16"/>
                <w:szCs w:val="16"/>
                <w:color w:val="auto"/>
              </w:rPr>
              <w:t>N/A</w:t>
            </w:r>
          </w:p>
        </w:tc>
        <w:tc>
          <w:tcPr>
            <w:tcW w:w="120" w:type="dxa"/>
            <w:vAlign w:val="bottom"/>
            <w:tcBorders>
              <w:left w:val="single" w:sz="8" w:color="E7E7E2"/>
            </w:tcBorders>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80" w:type="dxa"/>
            <w:vAlign w:val="bottom"/>
            <w:vMerge w:val="restart"/>
            <w:shd w:val="clear" w:color="auto" w:fill="E7E7E2"/>
          </w:tcPr>
          <w:p>
            <w:pPr>
              <w:ind w:left="80"/>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c>
          <w:tcPr>
            <w:tcW w:w="960" w:type="dxa"/>
            <w:vAlign w:val="bottom"/>
            <w:gridSpan w:val="3"/>
            <w:vMerge w:val="restart"/>
            <w:shd w:val="clear" w:color="auto" w:fill="E7E7E2"/>
          </w:tcPr>
          <w:p>
            <w:pPr>
              <w:ind w:left="680"/>
              <w:spacing w:after="0"/>
              <w:rPr>
                <w:sz w:val="20"/>
                <w:szCs w:val="20"/>
                <w:color w:val="auto"/>
              </w:rPr>
            </w:pPr>
            <w:r>
              <w:rPr>
                <w:rFonts w:ascii="Arial" w:cs="Arial" w:eastAsia="Arial" w:hAnsi="Arial"/>
                <w:sz w:val="16"/>
                <w:szCs w:val="16"/>
                <w:color w:val="auto"/>
                <w:w w:val="97"/>
              </w:rPr>
              <w:t>N/A</w:t>
            </w:r>
          </w:p>
        </w:tc>
        <w:tc>
          <w:tcPr>
            <w:tcW w:w="20" w:type="dxa"/>
            <w:vAlign w:val="bottom"/>
          </w:tcPr>
          <w:p>
            <w:pPr>
              <w:spacing w:after="0"/>
              <w:rPr>
                <w:sz w:val="15"/>
                <w:szCs w:val="15"/>
                <w:color w:val="auto"/>
              </w:rPr>
            </w:pPr>
          </w:p>
        </w:tc>
        <w:tc>
          <w:tcPr>
            <w:tcW w:w="640" w:type="dxa"/>
            <w:vAlign w:val="bottom"/>
            <w:vMerge w:val="restart"/>
            <w:shd w:val="clear" w:color="auto" w:fill="E7E7E2"/>
          </w:tcPr>
          <w:p>
            <w:pPr>
              <w:ind w:left="360"/>
              <w:spacing w:after="0"/>
              <w:rPr>
                <w:sz w:val="20"/>
                <w:szCs w:val="20"/>
                <w:color w:val="auto"/>
              </w:rPr>
            </w:pPr>
            <w:r>
              <w:rPr>
                <w:rFonts w:ascii="Arial" w:cs="Arial" w:eastAsia="Arial" w:hAnsi="Arial"/>
                <w:sz w:val="16"/>
                <w:szCs w:val="16"/>
                <w:color w:val="auto"/>
                <w:w w:val="97"/>
              </w:rPr>
              <w:t>N/A</w:t>
            </w:r>
          </w:p>
        </w:tc>
        <w:tc>
          <w:tcPr>
            <w:tcW w:w="20" w:type="dxa"/>
            <w:vAlign w:val="bottom"/>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40" w:type="dxa"/>
            <w:vAlign w:val="bottom"/>
            <w:tcBorders>
              <w:left w:val="single" w:sz="8" w:color="auto"/>
            </w:tcBorders>
          </w:tcPr>
          <w:p>
            <w:pPr>
              <w:spacing w:after="0"/>
              <w:rPr>
                <w:sz w:val="10"/>
                <w:szCs w:val="10"/>
                <w:color w:val="auto"/>
              </w:rPr>
            </w:pPr>
          </w:p>
        </w:tc>
        <w:tc>
          <w:tcPr>
            <w:tcW w:w="980" w:type="dxa"/>
            <w:vAlign w:val="bottom"/>
            <w:gridSpan w:val="3"/>
            <w:vMerge w:val="restart"/>
            <w:shd w:val="clear" w:color="auto" w:fill="E7E7E2"/>
          </w:tcPr>
          <w:p>
            <w:pPr>
              <w:spacing w:after="0"/>
              <w:rPr>
                <w:sz w:val="20"/>
                <w:szCs w:val="20"/>
                <w:color w:val="auto"/>
              </w:rPr>
            </w:pPr>
            <w:r>
              <w:rPr>
                <w:rFonts w:ascii="Arial" w:cs="Arial" w:eastAsia="Arial" w:hAnsi="Arial"/>
                <w:sz w:val="16"/>
                <w:szCs w:val="16"/>
                <w:color w:val="auto"/>
              </w:rPr>
              <w:t>Sources</w:t>
            </w:r>
          </w:p>
        </w:tc>
        <w:tc>
          <w:tcPr>
            <w:tcW w:w="40" w:type="dxa"/>
            <w:vAlign w:val="bottom"/>
          </w:tcPr>
          <w:p>
            <w:pPr>
              <w:spacing w:after="0"/>
              <w:rPr>
                <w:sz w:val="10"/>
                <w:szCs w:val="10"/>
                <w:color w:val="auto"/>
              </w:rPr>
            </w:pPr>
          </w:p>
        </w:tc>
        <w:tc>
          <w:tcPr>
            <w:tcW w:w="78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580" w:type="dxa"/>
            <w:vAlign w:val="bottom"/>
            <w:gridSpan w:val="3"/>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vMerge w:val="continue"/>
            <w:shd w:val="clear" w:color="auto" w:fill="E7E7E2"/>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shd w:val="clear" w:color="auto" w:fill="E7E7E2"/>
          </w:tcPr>
          <w:p>
            <w:pPr>
              <w:spacing w:after="0"/>
              <w:rPr>
                <w:sz w:val="10"/>
                <w:szCs w:val="10"/>
                <w:color w:val="auto"/>
              </w:rPr>
            </w:pPr>
          </w:p>
        </w:tc>
        <w:tc>
          <w:tcPr>
            <w:tcW w:w="20" w:type="dxa"/>
            <w:vAlign w:val="bottom"/>
            <w:shd w:val="clear" w:color="auto" w:fill="E7E7E2"/>
          </w:tcPr>
          <w:p>
            <w:pPr>
              <w:spacing w:after="0"/>
              <w:rPr>
                <w:sz w:val="10"/>
                <w:szCs w:val="10"/>
                <w:color w:val="auto"/>
              </w:rPr>
            </w:pPr>
          </w:p>
        </w:tc>
        <w:tc>
          <w:tcPr>
            <w:tcW w:w="34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gridSpan w:val="2"/>
            <w:vMerge w:val="continue"/>
            <w:shd w:val="clear" w:color="auto" w:fill="E7E7E2"/>
          </w:tcPr>
          <w:p>
            <w:pPr>
              <w:spacing w:after="0"/>
              <w:rPr>
                <w:sz w:val="10"/>
                <w:szCs w:val="10"/>
                <w:color w:val="auto"/>
              </w:rPr>
            </w:pPr>
          </w:p>
        </w:tc>
        <w:tc>
          <w:tcPr>
            <w:tcW w:w="120" w:type="dxa"/>
            <w:vAlign w:val="bottom"/>
            <w:tcBorders>
              <w:left w:val="single" w:sz="8" w:color="E7E7E2"/>
            </w:tcBorders>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shd w:val="clear" w:color="auto" w:fill="E7E7E2"/>
          </w:tcPr>
          <w:p>
            <w:pPr>
              <w:spacing w:after="0"/>
              <w:rPr>
                <w:sz w:val="10"/>
                <w:szCs w:val="10"/>
                <w:color w:val="auto"/>
              </w:rPr>
            </w:pPr>
          </w:p>
        </w:tc>
        <w:tc>
          <w:tcPr>
            <w:tcW w:w="20" w:type="dxa"/>
            <w:vAlign w:val="bottom"/>
            <w:shd w:val="clear" w:color="auto" w:fill="E7E7E2"/>
          </w:tcPr>
          <w:p>
            <w:pPr>
              <w:spacing w:after="0"/>
              <w:rPr>
                <w:sz w:val="10"/>
                <w:szCs w:val="10"/>
                <w:color w:val="auto"/>
              </w:rPr>
            </w:pPr>
          </w:p>
        </w:tc>
        <w:tc>
          <w:tcPr>
            <w:tcW w:w="38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gridSpan w:val="3"/>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7"/>
                <w:szCs w:val="7"/>
                <w:color w:val="auto"/>
              </w:rPr>
            </w:pPr>
          </w:p>
        </w:tc>
        <w:tc>
          <w:tcPr>
            <w:tcW w:w="980" w:type="dxa"/>
            <w:vAlign w:val="bottom"/>
            <w:gridSpan w:val="3"/>
            <w:vMerge w:val="continue"/>
            <w:shd w:val="clear" w:color="auto" w:fill="E7E7E2"/>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shd w:val="clear" w:color="auto" w:fill="E7E7E2"/>
          </w:tcPr>
          <w:p>
            <w:pPr>
              <w:spacing w:after="0"/>
              <w:rPr>
                <w:sz w:val="7"/>
                <w:szCs w:val="7"/>
                <w:color w:val="auto"/>
              </w:rPr>
            </w:pPr>
          </w:p>
        </w:tc>
        <w:tc>
          <w:tcPr>
            <w:tcW w:w="20" w:type="dxa"/>
            <w:vAlign w:val="bottom"/>
            <w:shd w:val="clear" w:color="auto" w:fill="E7E7E2"/>
          </w:tcPr>
          <w:p>
            <w:pPr>
              <w:spacing w:after="0"/>
              <w:rPr>
                <w:sz w:val="7"/>
                <w:szCs w:val="7"/>
                <w:color w:val="auto"/>
              </w:rPr>
            </w:pPr>
          </w:p>
        </w:tc>
        <w:tc>
          <w:tcPr>
            <w:tcW w:w="13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shd w:val="clear" w:color="auto" w:fill="E7E7E2"/>
          </w:tcPr>
          <w:p>
            <w:pPr>
              <w:spacing w:after="0"/>
              <w:rPr>
                <w:sz w:val="7"/>
                <w:szCs w:val="7"/>
                <w:color w:val="auto"/>
              </w:rPr>
            </w:pPr>
          </w:p>
        </w:tc>
        <w:tc>
          <w:tcPr>
            <w:tcW w:w="40" w:type="dxa"/>
            <w:vAlign w:val="bottom"/>
          </w:tcPr>
          <w:p>
            <w:pPr>
              <w:spacing w:after="0"/>
              <w:rPr>
                <w:sz w:val="7"/>
                <w:szCs w:val="7"/>
                <w:color w:val="auto"/>
              </w:rPr>
            </w:pPr>
          </w:p>
        </w:tc>
        <w:tc>
          <w:tcPr>
            <w:tcW w:w="6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320" w:type="dxa"/>
            <w:vAlign w:val="bottom"/>
            <w:shd w:val="clear" w:color="auto" w:fill="E7E7E2"/>
          </w:tcPr>
          <w:p>
            <w:pPr>
              <w:spacing w:after="0"/>
              <w:rPr>
                <w:sz w:val="7"/>
                <w:szCs w:val="7"/>
                <w:color w:val="auto"/>
              </w:rPr>
            </w:pPr>
          </w:p>
        </w:tc>
        <w:tc>
          <w:tcPr>
            <w:tcW w:w="20" w:type="dxa"/>
            <w:vAlign w:val="bottom"/>
            <w:shd w:val="clear" w:color="auto" w:fill="E7E7E2"/>
          </w:tcPr>
          <w:p>
            <w:pPr>
              <w:spacing w:after="0"/>
              <w:rPr>
                <w:sz w:val="7"/>
                <w:szCs w:val="7"/>
                <w:color w:val="auto"/>
              </w:rPr>
            </w:pPr>
          </w:p>
        </w:tc>
        <w:tc>
          <w:tcPr>
            <w:tcW w:w="34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shd w:val="clear" w:color="auto" w:fill="E7E7E2"/>
          </w:tcPr>
          <w:p>
            <w:pPr>
              <w:spacing w:after="0"/>
              <w:rPr>
                <w:sz w:val="7"/>
                <w:szCs w:val="7"/>
                <w:color w:val="auto"/>
              </w:rPr>
            </w:pPr>
          </w:p>
        </w:tc>
        <w:tc>
          <w:tcPr>
            <w:tcW w:w="20" w:type="dxa"/>
            <w:vAlign w:val="bottom"/>
            <w:shd w:val="clear" w:color="auto" w:fill="E7E7E2"/>
          </w:tcPr>
          <w:p>
            <w:pPr>
              <w:spacing w:after="0"/>
              <w:rPr>
                <w:sz w:val="7"/>
                <w:szCs w:val="7"/>
                <w:color w:val="auto"/>
              </w:rPr>
            </w:pPr>
          </w:p>
        </w:tc>
        <w:tc>
          <w:tcPr>
            <w:tcW w:w="120" w:type="dxa"/>
            <w:vAlign w:val="bottom"/>
            <w:tcBorders>
              <w:left w:val="single" w:sz="8" w:color="E7E7E2"/>
            </w:tcBorders>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shd w:val="clear" w:color="auto" w:fill="E7E7E2"/>
          </w:tcPr>
          <w:p>
            <w:pPr>
              <w:spacing w:after="0"/>
              <w:rPr>
                <w:sz w:val="7"/>
                <w:szCs w:val="7"/>
                <w:color w:val="auto"/>
              </w:rPr>
            </w:pPr>
          </w:p>
        </w:tc>
        <w:tc>
          <w:tcPr>
            <w:tcW w:w="20" w:type="dxa"/>
            <w:vAlign w:val="bottom"/>
            <w:shd w:val="clear" w:color="auto" w:fill="E7E7E2"/>
          </w:tcPr>
          <w:p>
            <w:pPr>
              <w:spacing w:after="0"/>
              <w:rPr>
                <w:sz w:val="7"/>
                <w:szCs w:val="7"/>
                <w:color w:val="auto"/>
              </w:rPr>
            </w:pPr>
          </w:p>
        </w:tc>
        <w:tc>
          <w:tcPr>
            <w:tcW w:w="3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shd w:val="clear" w:color="auto" w:fill="E7E7E2"/>
          </w:tcPr>
          <w:p>
            <w:pPr>
              <w:spacing w:after="0"/>
              <w:rPr>
                <w:sz w:val="7"/>
                <w:szCs w:val="7"/>
                <w:color w:val="auto"/>
              </w:rPr>
            </w:pPr>
          </w:p>
        </w:tc>
        <w:tc>
          <w:tcPr>
            <w:tcW w:w="20" w:type="dxa"/>
            <w:vAlign w:val="bottom"/>
            <w:shd w:val="clear" w:color="auto" w:fill="E7E7E2"/>
          </w:tcPr>
          <w:p>
            <w:pPr>
              <w:spacing w:after="0"/>
              <w:rPr>
                <w:sz w:val="7"/>
                <w:szCs w:val="7"/>
                <w:color w:val="auto"/>
              </w:rPr>
            </w:pPr>
          </w:p>
        </w:tc>
        <w:tc>
          <w:tcPr>
            <w:tcW w:w="2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8"/>
        </w:trPr>
        <w:tc>
          <w:tcPr>
            <w:tcW w:w="3440" w:type="dxa"/>
            <w:vAlign w:val="bottom"/>
            <w:tcBorders>
              <w:bottom w:val="single" w:sz="8" w:color="auto"/>
            </w:tcBorders>
            <w:gridSpan w:val="10"/>
          </w:tcPr>
          <w:p>
            <w:pPr>
              <w:ind w:left="40"/>
              <w:spacing w:after="0"/>
              <w:rPr>
                <w:sz w:val="20"/>
                <w:szCs w:val="20"/>
                <w:color w:val="auto"/>
              </w:rPr>
            </w:pPr>
            <w:r>
              <w:rPr>
                <w:rFonts w:ascii="Arial" w:cs="Arial" w:eastAsia="Arial" w:hAnsi="Arial"/>
                <w:sz w:val="16"/>
                <w:szCs w:val="16"/>
                <w:b w:val="1"/>
                <w:bCs w:val="1"/>
                <w:color w:val="auto"/>
              </w:rPr>
              <w:t>Table 3: Combined Prospectuses</w:t>
            </w: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7"/>
          </w:tcPr>
          <w:p>
            <w:pPr>
              <w:ind w:left="340"/>
              <w:spacing w:after="0" w:line="184" w:lineRule="exact"/>
              <w:rPr>
                <w:sz w:val="20"/>
                <w:szCs w:val="20"/>
                <w:color w:val="auto"/>
              </w:rPr>
            </w:pPr>
            <w:r>
              <w:rPr>
                <w:rFonts w:ascii="MS PGothic" w:cs="MS PGothic" w:eastAsia="MS PGothic" w:hAnsi="MS PGothic"/>
                <w:sz w:val="16"/>
                <w:szCs w:val="16"/>
                <w:color w:val="auto"/>
                <w:highlight w:val="black"/>
              </w:rPr>
              <w:t>☑</w:t>
            </w:r>
            <w:r>
              <w:rPr>
                <w:rFonts w:ascii="Arial" w:cs="Arial" w:eastAsia="Arial" w:hAnsi="Arial"/>
                <w:sz w:val="16"/>
                <w:szCs w:val="16"/>
                <w:b w:val="1"/>
                <w:bCs w:val="1"/>
                <w:color w:val="auto"/>
              </w:rPr>
              <w:t>Not Applicable</w:t>
            </w:r>
          </w:p>
        </w:tc>
        <w:tc>
          <w:tcPr>
            <w:tcW w:w="0" w:type="dxa"/>
            <w:vAlign w:val="bottom"/>
          </w:tcPr>
          <w:p>
            <w:pPr>
              <w:spacing w:after="0"/>
              <w:rPr>
                <w:sz w:val="1"/>
                <w:szCs w:val="1"/>
                <w:color w:val="auto"/>
              </w:rPr>
            </w:pPr>
          </w:p>
        </w:tc>
      </w:tr>
      <w:tr>
        <w:trPr>
          <w:trHeight w:val="190"/>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40" w:type="dxa"/>
            <w:vAlign w:val="bottom"/>
            <w:shd w:val="clear" w:color="auto" w:fill="9ADAF6"/>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3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40" w:type="dxa"/>
            <w:vAlign w:val="bottom"/>
            <w:gridSpan w:val="3"/>
            <w:shd w:val="clear" w:color="auto" w:fill="9ADAF6"/>
          </w:tcPr>
          <w:p>
            <w:pPr>
              <w:ind w:left="400"/>
              <w:spacing w:after="0"/>
              <w:rPr>
                <w:sz w:val="20"/>
                <w:szCs w:val="20"/>
                <w:color w:val="auto"/>
              </w:rPr>
            </w:pPr>
            <w:r>
              <w:rPr>
                <w:rFonts w:ascii="Arial" w:cs="Arial" w:eastAsia="Arial" w:hAnsi="Arial"/>
                <w:sz w:val="16"/>
                <w:szCs w:val="16"/>
                <w:b w:val="1"/>
                <w:bCs w:val="1"/>
                <w:color w:val="auto"/>
              </w:rPr>
              <w:t>Amount of</w:t>
            </w:r>
          </w:p>
        </w:tc>
        <w:tc>
          <w:tcPr>
            <w:tcW w:w="20" w:type="dxa"/>
            <w:vAlign w:val="bottom"/>
            <w:shd w:val="clear" w:color="auto" w:fill="9ADAF6"/>
          </w:tcPr>
          <w:p>
            <w:pPr>
              <w:spacing w:after="0"/>
              <w:rPr>
                <w:sz w:val="16"/>
                <w:szCs w:val="16"/>
                <w:color w:val="auto"/>
              </w:rPr>
            </w:pPr>
          </w:p>
        </w:tc>
        <w:tc>
          <w:tcPr>
            <w:tcW w:w="3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040" w:type="dxa"/>
            <w:vAlign w:val="bottom"/>
            <w:gridSpan w:val="5"/>
            <w:shd w:val="clear" w:color="auto" w:fill="9ADAF6"/>
          </w:tcPr>
          <w:p>
            <w:pPr>
              <w:jc w:val="center"/>
              <w:spacing w:after="0"/>
              <w:rPr>
                <w:sz w:val="20"/>
                <w:szCs w:val="20"/>
                <w:color w:val="auto"/>
              </w:rPr>
            </w:pPr>
            <w:r>
              <w:rPr>
                <w:rFonts w:ascii="Arial" w:cs="Arial" w:eastAsia="Arial" w:hAnsi="Arial"/>
                <w:sz w:val="16"/>
                <w:szCs w:val="16"/>
                <w:b w:val="1"/>
                <w:bCs w:val="1"/>
                <w:color w:val="auto"/>
              </w:rPr>
              <w:t>Maximum Aggregate</w:t>
            </w:r>
          </w:p>
        </w:tc>
        <w:tc>
          <w:tcPr>
            <w:tcW w:w="20" w:type="dxa"/>
            <w:vAlign w:val="bottom"/>
          </w:tcPr>
          <w:p>
            <w:pPr>
              <w:spacing w:after="0"/>
              <w:rPr>
                <w:sz w:val="16"/>
                <w:szCs w:val="16"/>
                <w:color w:val="auto"/>
              </w:rPr>
            </w:pPr>
          </w:p>
        </w:tc>
        <w:tc>
          <w:tcPr>
            <w:tcW w:w="120" w:type="dxa"/>
            <w:vAlign w:val="bottom"/>
            <w:tcBorders>
              <w:left w:val="single" w:sz="8" w:color="9ADAF6"/>
            </w:tcBorders>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shd w:val="clear" w:color="auto" w:fill="9ADAF6"/>
          </w:tcPr>
          <w:p>
            <w:pPr>
              <w:spacing w:after="0"/>
              <w:rPr>
                <w:sz w:val="16"/>
                <w:szCs w:val="16"/>
                <w:color w:val="auto"/>
              </w:rPr>
            </w:pPr>
          </w:p>
        </w:tc>
        <w:tc>
          <w:tcPr>
            <w:tcW w:w="680" w:type="dxa"/>
            <w:vAlign w:val="bottom"/>
            <w:gridSpan w:val="3"/>
            <w:vMerge w:val="restart"/>
            <w:shd w:val="clear" w:color="auto" w:fill="9ADAF6"/>
          </w:tcPr>
          <w:p>
            <w:pPr>
              <w:jc w:val="center"/>
              <w:ind w:right="240"/>
              <w:spacing w:after="0"/>
              <w:rPr>
                <w:sz w:val="20"/>
                <w:szCs w:val="20"/>
                <w:color w:val="auto"/>
              </w:rPr>
            </w:pPr>
            <w:r>
              <w:rPr>
                <w:rFonts w:ascii="Arial" w:cs="Arial" w:eastAsia="Arial" w:hAnsi="Arial"/>
                <w:sz w:val="16"/>
                <w:szCs w:val="16"/>
                <w:b w:val="1"/>
                <w:bCs w:val="1"/>
                <w:color w:val="auto"/>
              </w:rPr>
              <w:t>Initial</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40" w:type="dxa"/>
            <w:vAlign w:val="bottom"/>
            <w:shd w:val="clear" w:color="auto" w:fill="9ADAF6"/>
          </w:tcPr>
          <w:p>
            <w:pPr>
              <w:spacing w:after="0"/>
              <w:rPr>
                <w:sz w:val="8"/>
                <w:szCs w:val="8"/>
                <w:color w:val="auto"/>
              </w:rPr>
            </w:pPr>
          </w:p>
        </w:tc>
        <w:tc>
          <w:tcPr>
            <w:tcW w:w="7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2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3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240" w:type="dxa"/>
            <w:vAlign w:val="bottom"/>
            <w:gridSpan w:val="3"/>
            <w:vMerge w:val="restart"/>
            <w:shd w:val="clear" w:color="auto" w:fill="9ADAF6"/>
          </w:tcPr>
          <w:p>
            <w:pPr>
              <w:ind w:left="420"/>
              <w:spacing w:after="0"/>
              <w:rPr>
                <w:sz w:val="20"/>
                <w:szCs w:val="20"/>
                <w:color w:val="auto"/>
              </w:rPr>
            </w:pPr>
            <w:r>
              <w:rPr>
                <w:rFonts w:ascii="Arial" w:cs="Arial" w:eastAsia="Arial" w:hAnsi="Arial"/>
                <w:sz w:val="16"/>
                <w:szCs w:val="16"/>
                <w:b w:val="1"/>
                <w:bCs w:val="1"/>
                <w:color w:val="auto"/>
              </w:rPr>
              <w:t>Securities</w:t>
            </w:r>
          </w:p>
        </w:tc>
        <w:tc>
          <w:tcPr>
            <w:tcW w:w="20" w:type="dxa"/>
            <w:vAlign w:val="bottom"/>
            <w:shd w:val="clear" w:color="auto" w:fill="9ADAF6"/>
          </w:tcPr>
          <w:p>
            <w:pPr>
              <w:spacing w:after="0"/>
              <w:rPr>
                <w:sz w:val="8"/>
                <w:szCs w:val="8"/>
                <w:color w:val="auto"/>
              </w:rPr>
            </w:pPr>
          </w:p>
        </w:tc>
        <w:tc>
          <w:tcPr>
            <w:tcW w:w="3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680" w:type="dxa"/>
            <w:vAlign w:val="bottom"/>
            <w:gridSpan w:val="3"/>
            <w:vMerge w:val="restart"/>
            <w:shd w:val="clear" w:color="auto" w:fill="9ADAF6"/>
          </w:tcPr>
          <w:p>
            <w:pPr>
              <w:ind w:left="20"/>
              <w:spacing w:after="0"/>
              <w:rPr>
                <w:sz w:val="20"/>
                <w:szCs w:val="20"/>
                <w:color w:val="auto"/>
              </w:rPr>
            </w:pPr>
            <w:r>
              <w:rPr>
                <w:rFonts w:ascii="Arial" w:cs="Arial" w:eastAsia="Arial" w:hAnsi="Arial"/>
                <w:sz w:val="16"/>
                <w:szCs w:val="16"/>
                <w:b w:val="1"/>
                <w:bCs w:val="1"/>
                <w:color w:val="auto"/>
              </w:rPr>
              <w:t>Offering Price of</w:t>
            </w:r>
          </w:p>
        </w:tc>
        <w:tc>
          <w:tcPr>
            <w:tcW w:w="20" w:type="dxa"/>
            <w:vAlign w:val="bottom"/>
          </w:tcPr>
          <w:p>
            <w:pPr>
              <w:spacing w:after="0"/>
              <w:rPr>
                <w:sz w:val="8"/>
                <w:szCs w:val="8"/>
                <w:color w:val="auto"/>
              </w:rPr>
            </w:pPr>
          </w:p>
        </w:tc>
        <w:tc>
          <w:tcPr>
            <w:tcW w:w="660" w:type="dxa"/>
            <w:vAlign w:val="bottom"/>
            <w:tcBorders>
              <w:left w:val="single" w:sz="8" w:color="9ADAF6"/>
            </w:tcBorders>
            <w:gridSpan w:val="3"/>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Form</w:t>
            </w:r>
          </w:p>
        </w:tc>
        <w:tc>
          <w:tcPr>
            <w:tcW w:w="20" w:type="dxa"/>
            <w:vAlign w:val="bottom"/>
          </w:tcPr>
          <w:p>
            <w:pPr>
              <w:spacing w:after="0"/>
              <w:rPr>
                <w:sz w:val="8"/>
                <w:szCs w:val="8"/>
                <w:color w:val="auto"/>
              </w:rPr>
            </w:pPr>
          </w:p>
        </w:tc>
        <w:tc>
          <w:tcPr>
            <w:tcW w:w="3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shd w:val="clear" w:color="auto" w:fill="9ADAF6"/>
          </w:tcPr>
          <w:p>
            <w:pPr>
              <w:spacing w:after="0"/>
              <w:rPr>
                <w:sz w:val="8"/>
                <w:szCs w:val="8"/>
                <w:color w:val="auto"/>
              </w:rPr>
            </w:pPr>
          </w:p>
        </w:tc>
        <w:tc>
          <w:tcPr>
            <w:tcW w:w="680" w:type="dxa"/>
            <w:vAlign w:val="bottom"/>
            <w:gridSpan w:val="3"/>
            <w:vMerge w:val="continue"/>
            <w:shd w:val="clear" w:color="auto" w:fill="9ADAF6"/>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340" w:type="dxa"/>
            <w:vAlign w:val="bottom"/>
            <w:gridSpan w:val="3"/>
            <w:vMerge w:val="restart"/>
            <w:shd w:val="clear" w:color="auto" w:fill="9ADAF6"/>
          </w:tcPr>
          <w:p>
            <w:pPr>
              <w:ind w:left="240"/>
              <w:spacing w:after="0"/>
              <w:rPr>
                <w:sz w:val="20"/>
                <w:szCs w:val="20"/>
                <w:color w:val="auto"/>
              </w:rPr>
            </w:pPr>
            <w:r>
              <w:rPr>
                <w:rFonts w:ascii="Arial" w:cs="Arial" w:eastAsia="Arial" w:hAnsi="Arial"/>
                <w:sz w:val="16"/>
                <w:szCs w:val="16"/>
                <w:b w:val="1"/>
                <w:bCs w:val="1"/>
                <w:color w:val="auto"/>
              </w:rPr>
              <w:t>Security Type</w:t>
            </w:r>
          </w:p>
        </w:tc>
        <w:tc>
          <w:tcPr>
            <w:tcW w:w="20" w:type="dxa"/>
            <w:vAlign w:val="bottom"/>
            <w:shd w:val="clear" w:color="auto" w:fill="9ADAF6"/>
          </w:tcPr>
          <w:p>
            <w:pPr>
              <w:spacing w:after="0"/>
              <w:rPr>
                <w:sz w:val="8"/>
                <w:szCs w:val="8"/>
                <w:color w:val="auto"/>
              </w:rPr>
            </w:pPr>
          </w:p>
        </w:tc>
        <w:tc>
          <w:tcPr>
            <w:tcW w:w="2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780" w:type="dxa"/>
            <w:vAlign w:val="bottom"/>
            <w:gridSpan w:val="5"/>
            <w:vMerge w:val="restart"/>
            <w:shd w:val="clear" w:color="auto" w:fill="9ADAF6"/>
          </w:tcPr>
          <w:p>
            <w:pPr>
              <w:ind w:left="640"/>
              <w:spacing w:after="0"/>
              <w:rPr>
                <w:sz w:val="20"/>
                <w:szCs w:val="20"/>
                <w:color w:val="auto"/>
              </w:rPr>
            </w:pPr>
            <w:r>
              <w:rPr>
                <w:rFonts w:ascii="Arial" w:cs="Arial" w:eastAsia="Arial" w:hAnsi="Arial"/>
                <w:sz w:val="16"/>
                <w:szCs w:val="16"/>
                <w:b w:val="1"/>
                <w:bCs w:val="1"/>
                <w:color w:val="auto"/>
              </w:rPr>
              <w:t>Security Class Title</w:t>
            </w:r>
          </w:p>
        </w:tc>
        <w:tc>
          <w:tcPr>
            <w:tcW w:w="20" w:type="dxa"/>
            <w:vAlign w:val="bottom"/>
            <w:shd w:val="clear" w:color="auto" w:fill="9ADAF6"/>
          </w:tcPr>
          <w:p>
            <w:pPr>
              <w:spacing w:after="0"/>
              <w:rPr>
                <w:sz w:val="8"/>
                <w:szCs w:val="8"/>
                <w:color w:val="auto"/>
              </w:rPr>
            </w:pPr>
          </w:p>
        </w:tc>
        <w:tc>
          <w:tcPr>
            <w:tcW w:w="1240" w:type="dxa"/>
            <w:vAlign w:val="bottom"/>
            <w:gridSpan w:val="3"/>
            <w:vMerge w:val="continue"/>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3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68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Borders>
              <w:left w:val="single" w:sz="8" w:color="9ADAF6"/>
            </w:tcBorders>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gridSpan w:val="3"/>
            <w:vMerge w:val="restart"/>
            <w:shd w:val="clear" w:color="auto" w:fill="9ADAF6"/>
          </w:tcPr>
          <w:p>
            <w:pPr>
              <w:ind w:left="80"/>
              <w:spacing w:after="0"/>
              <w:rPr>
                <w:sz w:val="20"/>
                <w:szCs w:val="20"/>
                <w:color w:val="auto"/>
              </w:rPr>
            </w:pPr>
            <w:r>
              <w:rPr>
                <w:rFonts w:ascii="Arial" w:cs="Arial" w:eastAsia="Arial" w:hAnsi="Arial"/>
                <w:sz w:val="16"/>
                <w:szCs w:val="16"/>
                <w:b w:val="1"/>
                <w:bCs w:val="1"/>
                <w:color w:val="auto"/>
              </w:rPr>
              <w:t>File Number</w:t>
            </w:r>
          </w:p>
        </w:tc>
        <w:tc>
          <w:tcPr>
            <w:tcW w:w="20" w:type="dxa"/>
            <w:vAlign w:val="bottom"/>
          </w:tcPr>
          <w:p>
            <w:pPr>
              <w:spacing w:after="0"/>
              <w:rPr>
                <w:sz w:val="8"/>
                <w:szCs w:val="8"/>
                <w:color w:val="auto"/>
              </w:rPr>
            </w:pPr>
          </w:p>
        </w:tc>
        <w:tc>
          <w:tcPr>
            <w:tcW w:w="900" w:type="dxa"/>
            <w:vAlign w:val="bottom"/>
            <w:gridSpan w:val="4"/>
            <w:vMerge w:val="restart"/>
            <w:shd w:val="clear" w:color="auto" w:fill="9ADAF6"/>
          </w:tcPr>
          <w:p>
            <w:pPr>
              <w:jc w:val="center"/>
              <w:ind w:right="20"/>
              <w:spacing w:after="0"/>
              <w:rPr>
                <w:sz w:val="20"/>
                <w:szCs w:val="20"/>
                <w:color w:val="auto"/>
              </w:rPr>
            </w:pPr>
            <w:r>
              <w:rPr>
                <w:rFonts w:ascii="Arial" w:cs="Arial" w:eastAsia="Arial" w:hAnsi="Arial"/>
                <w:sz w:val="16"/>
                <w:szCs w:val="16"/>
                <w:b w:val="1"/>
                <w:bCs w:val="1"/>
                <w:color w:val="auto"/>
              </w:rPr>
              <w:t>Effective</w:t>
            </w: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340" w:type="dxa"/>
            <w:vAlign w:val="bottom"/>
            <w:gridSpan w:val="3"/>
            <w:vMerge w:val="continue"/>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2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780" w:type="dxa"/>
            <w:vAlign w:val="bottom"/>
            <w:gridSpan w:val="5"/>
            <w:vMerge w:val="continue"/>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240" w:type="dxa"/>
            <w:vAlign w:val="bottom"/>
            <w:gridSpan w:val="3"/>
            <w:vMerge w:val="restart"/>
            <w:shd w:val="clear" w:color="auto" w:fill="9ADAF6"/>
          </w:tcPr>
          <w:p>
            <w:pPr>
              <w:ind w:left="380"/>
              <w:spacing w:after="0"/>
              <w:rPr>
                <w:sz w:val="20"/>
                <w:szCs w:val="20"/>
                <w:color w:val="auto"/>
              </w:rPr>
            </w:pPr>
            <w:r>
              <w:rPr>
                <w:rFonts w:ascii="Arial" w:cs="Arial" w:eastAsia="Arial" w:hAnsi="Arial"/>
                <w:sz w:val="16"/>
                <w:szCs w:val="16"/>
                <w:b w:val="1"/>
                <w:bCs w:val="1"/>
                <w:color w:val="auto"/>
              </w:rPr>
              <w:t>Previously</w:t>
            </w:r>
          </w:p>
        </w:tc>
        <w:tc>
          <w:tcPr>
            <w:tcW w:w="20" w:type="dxa"/>
            <w:vAlign w:val="bottom"/>
            <w:shd w:val="clear" w:color="auto" w:fill="9ADAF6"/>
          </w:tcPr>
          <w:p>
            <w:pPr>
              <w:spacing w:after="0"/>
              <w:rPr>
                <w:sz w:val="8"/>
                <w:szCs w:val="8"/>
                <w:color w:val="auto"/>
              </w:rPr>
            </w:pPr>
          </w:p>
        </w:tc>
        <w:tc>
          <w:tcPr>
            <w:tcW w:w="3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40" w:type="dxa"/>
            <w:vAlign w:val="bottom"/>
            <w:gridSpan w:val="5"/>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Securities Previously</w:t>
            </w:r>
          </w:p>
        </w:tc>
        <w:tc>
          <w:tcPr>
            <w:tcW w:w="20" w:type="dxa"/>
            <w:vAlign w:val="bottom"/>
          </w:tcPr>
          <w:p>
            <w:pPr>
              <w:spacing w:after="0"/>
              <w:rPr>
                <w:sz w:val="8"/>
                <w:szCs w:val="8"/>
                <w:color w:val="auto"/>
              </w:rPr>
            </w:pPr>
          </w:p>
        </w:tc>
        <w:tc>
          <w:tcPr>
            <w:tcW w:w="120" w:type="dxa"/>
            <w:vAlign w:val="bottom"/>
            <w:tcBorders>
              <w:left w:val="single" w:sz="8" w:color="9ADAF6"/>
            </w:tcBorders>
            <w:shd w:val="clear" w:color="auto" w:fill="9ADAF6"/>
          </w:tcPr>
          <w:p>
            <w:pPr>
              <w:spacing w:after="0"/>
              <w:rPr>
                <w:sz w:val="8"/>
                <w:szCs w:val="8"/>
                <w:color w:val="auto"/>
              </w:rPr>
            </w:pPr>
          </w:p>
        </w:tc>
        <w:tc>
          <w:tcPr>
            <w:tcW w:w="540" w:type="dxa"/>
            <w:vAlign w:val="bottom"/>
            <w:gridSpan w:val="2"/>
            <w:vMerge w:val="restart"/>
            <w:shd w:val="clear" w:color="auto" w:fill="9ADAF6"/>
          </w:tcPr>
          <w:p>
            <w:pPr>
              <w:jc w:val="center"/>
              <w:ind w:right="40"/>
              <w:spacing w:after="0"/>
              <w:rPr>
                <w:sz w:val="20"/>
                <w:szCs w:val="20"/>
                <w:color w:val="auto"/>
              </w:rPr>
            </w:pPr>
            <w:r>
              <w:rPr>
                <w:rFonts w:ascii="Arial" w:cs="Arial" w:eastAsia="Arial" w:hAnsi="Arial"/>
                <w:sz w:val="16"/>
                <w:szCs w:val="16"/>
                <w:b w:val="1"/>
                <w:bCs w:val="1"/>
                <w:color w:val="auto"/>
              </w:rPr>
              <w:t>Type</w:t>
            </w:r>
          </w:p>
        </w:tc>
        <w:tc>
          <w:tcPr>
            <w:tcW w:w="20" w:type="dxa"/>
            <w:vAlign w:val="bottom"/>
          </w:tcPr>
          <w:p>
            <w:pPr>
              <w:spacing w:after="0"/>
              <w:rPr>
                <w:sz w:val="8"/>
                <w:szCs w:val="8"/>
                <w:color w:val="auto"/>
              </w:rPr>
            </w:pPr>
          </w:p>
        </w:tc>
        <w:tc>
          <w:tcPr>
            <w:tcW w:w="112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gridSpan w:val="4"/>
            <w:vMerge w:val="continue"/>
            <w:shd w:val="clear" w:color="auto" w:fill="9ADAF6"/>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40" w:type="dxa"/>
            <w:vAlign w:val="bottom"/>
            <w:shd w:val="clear" w:color="auto" w:fill="9ADAF6"/>
          </w:tcPr>
          <w:p>
            <w:pPr>
              <w:spacing w:after="0"/>
              <w:rPr>
                <w:sz w:val="8"/>
                <w:szCs w:val="8"/>
                <w:color w:val="auto"/>
              </w:rPr>
            </w:pPr>
          </w:p>
        </w:tc>
        <w:tc>
          <w:tcPr>
            <w:tcW w:w="7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2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3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240" w:type="dxa"/>
            <w:vAlign w:val="bottom"/>
            <w:gridSpan w:val="3"/>
            <w:vMerge w:val="continue"/>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3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40" w:type="dxa"/>
            <w:vAlign w:val="bottom"/>
            <w:gridSpan w:val="5"/>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left w:val="single" w:sz="8" w:color="9ADAF6"/>
            </w:tcBorders>
            <w:shd w:val="clear" w:color="auto" w:fill="9ADAF6"/>
          </w:tcPr>
          <w:p>
            <w:pPr>
              <w:spacing w:after="0"/>
              <w:rPr>
                <w:sz w:val="8"/>
                <w:szCs w:val="8"/>
                <w:color w:val="auto"/>
              </w:rPr>
            </w:pPr>
          </w:p>
        </w:tc>
        <w:tc>
          <w:tcPr>
            <w:tcW w:w="540" w:type="dxa"/>
            <w:vAlign w:val="bottom"/>
            <w:gridSpan w:val="2"/>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60" w:type="dxa"/>
            <w:vAlign w:val="bottom"/>
            <w:gridSpan w:val="2"/>
            <w:vMerge w:val="restart"/>
            <w:shd w:val="clear" w:color="auto" w:fill="9ADAF6"/>
          </w:tcPr>
          <w:p>
            <w:pPr>
              <w:jc w:val="center"/>
              <w:ind w:right="260"/>
              <w:spacing w:after="0"/>
              <w:rPr>
                <w:sz w:val="20"/>
                <w:szCs w:val="20"/>
                <w:color w:val="auto"/>
              </w:rPr>
            </w:pPr>
            <w:r>
              <w:rPr>
                <w:rFonts w:ascii="Arial" w:cs="Arial" w:eastAsia="Arial" w:hAnsi="Arial"/>
                <w:sz w:val="16"/>
                <w:szCs w:val="16"/>
                <w:b w:val="1"/>
                <w:bCs w:val="1"/>
                <w:color w:val="auto"/>
              </w:rPr>
              <w:t>Date</w:t>
            </w: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40" w:type="dxa"/>
            <w:vAlign w:val="bottom"/>
            <w:tcBorders>
              <w:left w:val="single" w:sz="8" w:color="auto"/>
            </w:tcBorders>
          </w:tcPr>
          <w:p>
            <w:pPr>
              <w:spacing w:after="0"/>
              <w:rPr>
                <w:sz w:val="11"/>
                <w:szCs w:val="11"/>
                <w:color w:val="auto"/>
              </w:rPr>
            </w:pPr>
          </w:p>
        </w:tc>
        <w:tc>
          <w:tcPr>
            <w:tcW w:w="4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shd w:val="clear" w:color="auto" w:fill="9ADAF6"/>
          </w:tcPr>
          <w:p>
            <w:pPr>
              <w:spacing w:after="0"/>
              <w:rPr>
                <w:sz w:val="11"/>
                <w:szCs w:val="11"/>
                <w:color w:val="auto"/>
              </w:rPr>
            </w:pPr>
          </w:p>
        </w:tc>
        <w:tc>
          <w:tcPr>
            <w:tcW w:w="40" w:type="dxa"/>
            <w:vAlign w:val="bottom"/>
            <w:shd w:val="clear" w:color="auto" w:fill="9ADAF6"/>
          </w:tcPr>
          <w:p>
            <w:pPr>
              <w:spacing w:after="0"/>
              <w:rPr>
                <w:sz w:val="11"/>
                <w:szCs w:val="11"/>
                <w:color w:val="auto"/>
              </w:rPr>
            </w:pPr>
          </w:p>
        </w:tc>
        <w:tc>
          <w:tcPr>
            <w:tcW w:w="78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2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36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6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6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1240" w:type="dxa"/>
            <w:vAlign w:val="bottom"/>
            <w:gridSpan w:val="3"/>
            <w:vMerge w:val="restart"/>
            <w:shd w:val="clear" w:color="auto" w:fill="9ADAF6"/>
          </w:tcPr>
          <w:p>
            <w:pPr>
              <w:ind w:left="380"/>
              <w:spacing w:after="0"/>
              <w:rPr>
                <w:sz w:val="20"/>
                <w:szCs w:val="20"/>
                <w:color w:val="auto"/>
              </w:rPr>
            </w:pPr>
            <w:r>
              <w:rPr>
                <w:rFonts w:ascii="Arial" w:cs="Arial" w:eastAsia="Arial" w:hAnsi="Arial"/>
                <w:sz w:val="16"/>
                <w:szCs w:val="16"/>
                <w:b w:val="1"/>
                <w:bCs w:val="1"/>
                <w:color w:val="auto"/>
              </w:rPr>
              <w:t>Registered</w:t>
            </w:r>
          </w:p>
        </w:tc>
        <w:tc>
          <w:tcPr>
            <w:tcW w:w="20" w:type="dxa"/>
            <w:vAlign w:val="bottom"/>
            <w:shd w:val="clear" w:color="auto" w:fill="9ADAF6"/>
          </w:tcPr>
          <w:p>
            <w:pPr>
              <w:spacing w:after="0"/>
              <w:rPr>
                <w:sz w:val="11"/>
                <w:szCs w:val="11"/>
                <w:color w:val="auto"/>
              </w:rPr>
            </w:pPr>
          </w:p>
        </w:tc>
        <w:tc>
          <w:tcPr>
            <w:tcW w:w="3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1680" w:type="dxa"/>
            <w:vAlign w:val="bottom"/>
            <w:gridSpan w:val="3"/>
            <w:vMerge w:val="restart"/>
            <w:shd w:val="clear" w:color="auto" w:fill="9ADAF6"/>
          </w:tcPr>
          <w:p>
            <w:pPr>
              <w:jc w:val="center"/>
              <w:ind w:right="279"/>
              <w:spacing w:after="0"/>
              <w:rPr>
                <w:sz w:val="20"/>
                <w:szCs w:val="20"/>
                <w:color w:val="auto"/>
              </w:rPr>
            </w:pPr>
            <w:r>
              <w:rPr>
                <w:rFonts w:ascii="Arial" w:cs="Arial" w:eastAsia="Arial" w:hAnsi="Arial"/>
                <w:sz w:val="16"/>
                <w:szCs w:val="16"/>
                <w:b w:val="1"/>
                <w:bCs w:val="1"/>
                <w:color w:val="auto"/>
              </w:rPr>
              <w:t>Registered</w:t>
            </w:r>
          </w:p>
        </w:tc>
        <w:tc>
          <w:tcPr>
            <w:tcW w:w="20" w:type="dxa"/>
            <w:vAlign w:val="bottom"/>
          </w:tcPr>
          <w:p>
            <w:pPr>
              <w:spacing w:after="0"/>
              <w:rPr>
                <w:sz w:val="11"/>
                <w:szCs w:val="11"/>
                <w:color w:val="auto"/>
              </w:rPr>
            </w:pPr>
          </w:p>
        </w:tc>
        <w:tc>
          <w:tcPr>
            <w:tcW w:w="120" w:type="dxa"/>
            <w:vAlign w:val="bottom"/>
            <w:tcBorders>
              <w:left w:val="single" w:sz="8" w:color="9ADAF6"/>
            </w:tcBorders>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5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660" w:type="dxa"/>
            <w:vAlign w:val="bottom"/>
            <w:gridSpan w:val="2"/>
            <w:vMerge w:val="continue"/>
            <w:shd w:val="clear" w:color="auto" w:fill="9ADAF6"/>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4"/>
        </w:trPr>
        <w:tc>
          <w:tcPr>
            <w:tcW w:w="40" w:type="dxa"/>
            <w:vAlign w:val="bottom"/>
            <w:tcBorders>
              <w:left w:val="single" w:sz="8" w:color="auto"/>
            </w:tcBorders>
          </w:tcPr>
          <w:p>
            <w:pPr>
              <w:spacing w:after="0"/>
              <w:rPr>
                <w:sz w:val="7"/>
                <w:szCs w:val="7"/>
                <w:color w:val="auto"/>
              </w:rPr>
            </w:pPr>
          </w:p>
        </w:tc>
        <w:tc>
          <w:tcPr>
            <w:tcW w:w="4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shd w:val="clear" w:color="auto" w:fill="9ADAF6"/>
          </w:tcPr>
          <w:p>
            <w:pPr>
              <w:spacing w:after="0"/>
              <w:rPr>
                <w:sz w:val="7"/>
                <w:szCs w:val="7"/>
                <w:color w:val="auto"/>
              </w:rPr>
            </w:pPr>
          </w:p>
        </w:tc>
        <w:tc>
          <w:tcPr>
            <w:tcW w:w="40" w:type="dxa"/>
            <w:vAlign w:val="bottom"/>
            <w:shd w:val="clear" w:color="auto" w:fill="9ADAF6"/>
          </w:tcPr>
          <w:p>
            <w:pPr>
              <w:spacing w:after="0"/>
              <w:rPr>
                <w:sz w:val="7"/>
                <w:szCs w:val="7"/>
                <w:color w:val="auto"/>
              </w:rPr>
            </w:pPr>
          </w:p>
        </w:tc>
        <w:tc>
          <w:tcPr>
            <w:tcW w:w="78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0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3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240" w:type="dxa"/>
            <w:vAlign w:val="bottom"/>
            <w:gridSpan w:val="3"/>
            <w:vMerge w:val="continue"/>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3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680" w:type="dxa"/>
            <w:vAlign w:val="bottom"/>
            <w:gridSpan w:val="3"/>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Borders>
              <w:left w:val="single" w:sz="8" w:color="9ADAF6"/>
            </w:tcBorders>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5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0" w:type="dxa"/>
            <w:vAlign w:val="bottom"/>
            <w:tcBorders>
              <w:right w:val="single" w:sz="8" w:color="auto"/>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40" w:type="dxa"/>
            <w:vAlign w:val="bottom"/>
            <w:tcBorders>
              <w:left w:val="single" w:sz="8" w:color="auto"/>
            </w:tcBorders>
          </w:tcPr>
          <w:p>
            <w:pPr>
              <w:spacing w:after="0"/>
              <w:rPr>
                <w:sz w:val="17"/>
                <w:szCs w:val="17"/>
                <w:color w:val="auto"/>
              </w:rPr>
            </w:pPr>
          </w:p>
        </w:tc>
        <w:tc>
          <w:tcPr>
            <w:tcW w:w="440" w:type="dxa"/>
            <w:vAlign w:val="bottom"/>
            <w:shd w:val="clear" w:color="auto" w:fill="E7E7E2"/>
          </w:tcPr>
          <w:p>
            <w:pPr>
              <w:ind w:left="80"/>
              <w:spacing w:after="0"/>
              <w:rPr>
                <w:sz w:val="20"/>
                <w:szCs w:val="20"/>
                <w:color w:val="auto"/>
              </w:rPr>
            </w:pPr>
            <w:r>
              <w:rPr>
                <w:rFonts w:ascii="Arial" w:cs="Arial" w:eastAsia="Arial" w:hAnsi="Arial"/>
                <w:sz w:val="16"/>
                <w:szCs w:val="16"/>
                <w:color w:val="auto"/>
              </w:rPr>
              <w:t>N/A</w:t>
            </w:r>
          </w:p>
        </w:tc>
        <w:tc>
          <w:tcPr>
            <w:tcW w:w="20" w:type="dxa"/>
            <w:vAlign w:val="bottom"/>
            <w:vMerge w:val="continue"/>
          </w:tcPr>
          <w:p>
            <w:pPr>
              <w:spacing w:after="0"/>
              <w:rPr>
                <w:sz w:val="17"/>
                <w:szCs w:val="17"/>
                <w:color w:val="auto"/>
              </w:rPr>
            </w:pPr>
          </w:p>
        </w:tc>
        <w:tc>
          <w:tcPr>
            <w:tcW w:w="520" w:type="dxa"/>
            <w:vAlign w:val="bottom"/>
            <w:shd w:val="clear" w:color="auto" w:fill="E7E7E2"/>
          </w:tcPr>
          <w:p>
            <w:pPr>
              <w:spacing w:after="0"/>
              <w:rPr>
                <w:sz w:val="20"/>
                <w:szCs w:val="20"/>
                <w:color w:val="auto"/>
              </w:rPr>
            </w:pPr>
            <w:r>
              <w:rPr>
                <w:rFonts w:ascii="Arial" w:cs="Arial" w:eastAsia="Arial" w:hAnsi="Arial"/>
                <w:sz w:val="16"/>
                <w:szCs w:val="16"/>
                <w:color w:val="auto"/>
              </w:rPr>
              <w:t>N/A</w:t>
            </w:r>
          </w:p>
        </w:tc>
        <w:tc>
          <w:tcPr>
            <w:tcW w:w="40" w:type="dxa"/>
            <w:vAlign w:val="bottom"/>
            <w:shd w:val="clear" w:color="auto" w:fill="E7E7E2"/>
          </w:tcPr>
          <w:p>
            <w:pPr>
              <w:spacing w:after="0"/>
              <w:rPr>
                <w:sz w:val="17"/>
                <w:szCs w:val="17"/>
                <w:color w:val="auto"/>
              </w:rPr>
            </w:pPr>
          </w:p>
        </w:tc>
        <w:tc>
          <w:tcPr>
            <w:tcW w:w="780" w:type="dxa"/>
            <w:vAlign w:val="bottom"/>
            <w:shd w:val="clear" w:color="auto" w:fill="E7E7E2"/>
          </w:tcPr>
          <w:p>
            <w:pPr>
              <w:spacing w:after="0"/>
              <w:rPr>
                <w:sz w:val="17"/>
                <w:szCs w:val="17"/>
                <w:color w:val="auto"/>
              </w:rPr>
            </w:pPr>
          </w:p>
        </w:tc>
        <w:tc>
          <w:tcPr>
            <w:tcW w:w="20" w:type="dxa"/>
            <w:vAlign w:val="bottom"/>
            <w:shd w:val="clear" w:color="auto" w:fill="E7E7E2"/>
          </w:tcPr>
          <w:p>
            <w:pPr>
              <w:spacing w:after="0"/>
              <w:rPr>
                <w:sz w:val="17"/>
                <w:szCs w:val="17"/>
                <w:color w:val="auto"/>
              </w:rPr>
            </w:pPr>
          </w:p>
        </w:tc>
        <w:tc>
          <w:tcPr>
            <w:tcW w:w="20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360" w:type="dxa"/>
            <w:vAlign w:val="bottom"/>
            <w:shd w:val="clear" w:color="auto" w:fill="E7E7E2"/>
          </w:tcPr>
          <w:p>
            <w:pPr>
              <w:spacing w:after="0"/>
              <w:rPr>
                <w:sz w:val="20"/>
                <w:szCs w:val="20"/>
                <w:color w:val="auto"/>
              </w:rPr>
            </w:pPr>
            <w:r>
              <w:rPr>
                <w:rFonts w:ascii="Arial" w:cs="Arial" w:eastAsia="Arial" w:hAnsi="Arial"/>
                <w:sz w:val="16"/>
                <w:szCs w:val="16"/>
                <w:color w:val="auto"/>
              </w:rPr>
              <w:t>N/A</w:t>
            </w:r>
          </w:p>
        </w:tc>
        <w:tc>
          <w:tcPr>
            <w:tcW w:w="20" w:type="dxa"/>
            <w:vAlign w:val="bottom"/>
            <w:shd w:val="clear" w:color="auto" w:fill="E7E7E2"/>
          </w:tcPr>
          <w:p>
            <w:pPr>
              <w:spacing w:after="0"/>
              <w:rPr>
                <w:sz w:val="17"/>
                <w:szCs w:val="17"/>
                <w:color w:val="auto"/>
              </w:rPr>
            </w:pPr>
          </w:p>
        </w:tc>
        <w:tc>
          <w:tcPr>
            <w:tcW w:w="620" w:type="dxa"/>
            <w:vAlign w:val="bottom"/>
            <w:shd w:val="clear" w:color="auto" w:fill="E7E7E2"/>
          </w:tcPr>
          <w:p>
            <w:pPr>
              <w:spacing w:after="0"/>
              <w:rPr>
                <w:sz w:val="17"/>
                <w:szCs w:val="17"/>
                <w:color w:val="auto"/>
              </w:rPr>
            </w:pPr>
          </w:p>
        </w:tc>
        <w:tc>
          <w:tcPr>
            <w:tcW w:w="20" w:type="dxa"/>
            <w:vAlign w:val="bottom"/>
            <w:shd w:val="clear" w:color="auto" w:fill="E7E7E2"/>
          </w:tcPr>
          <w:p>
            <w:pPr>
              <w:spacing w:after="0"/>
              <w:rPr>
                <w:sz w:val="17"/>
                <w:szCs w:val="17"/>
                <w:color w:val="auto"/>
              </w:rPr>
            </w:pPr>
          </w:p>
        </w:tc>
        <w:tc>
          <w:tcPr>
            <w:tcW w:w="760" w:type="dxa"/>
            <w:vAlign w:val="bottom"/>
            <w:shd w:val="clear" w:color="auto" w:fill="E7E7E2"/>
          </w:tcPr>
          <w:p>
            <w:pPr>
              <w:spacing w:after="0"/>
              <w:rPr>
                <w:sz w:val="17"/>
                <w:szCs w:val="17"/>
                <w:color w:val="auto"/>
              </w:rPr>
            </w:pPr>
          </w:p>
        </w:tc>
        <w:tc>
          <w:tcPr>
            <w:tcW w:w="20" w:type="dxa"/>
            <w:vAlign w:val="bottom"/>
            <w:shd w:val="clear" w:color="auto" w:fill="E7E7E2"/>
          </w:tcPr>
          <w:p>
            <w:pPr>
              <w:spacing w:after="0"/>
              <w:rPr>
                <w:sz w:val="17"/>
                <w:szCs w:val="17"/>
                <w:color w:val="auto"/>
              </w:rPr>
            </w:pPr>
          </w:p>
        </w:tc>
        <w:tc>
          <w:tcPr>
            <w:tcW w:w="600" w:type="dxa"/>
            <w:vAlign w:val="bottom"/>
            <w:shd w:val="clear" w:color="auto" w:fill="E7E7E2"/>
          </w:tcPr>
          <w:p>
            <w:pPr>
              <w:spacing w:after="0"/>
              <w:rPr>
                <w:sz w:val="17"/>
                <w:szCs w:val="17"/>
                <w:color w:val="auto"/>
              </w:rPr>
            </w:pPr>
          </w:p>
        </w:tc>
        <w:tc>
          <w:tcPr>
            <w:tcW w:w="40" w:type="dxa"/>
            <w:vAlign w:val="bottom"/>
            <w:shd w:val="clear" w:color="auto" w:fill="E7E7E2"/>
          </w:tcPr>
          <w:p>
            <w:pPr>
              <w:spacing w:after="0"/>
              <w:rPr>
                <w:sz w:val="17"/>
                <w:szCs w:val="17"/>
                <w:color w:val="auto"/>
              </w:rPr>
            </w:pPr>
          </w:p>
        </w:tc>
        <w:tc>
          <w:tcPr>
            <w:tcW w:w="600" w:type="dxa"/>
            <w:vAlign w:val="bottom"/>
            <w:shd w:val="clear" w:color="auto" w:fill="E7E7E2"/>
          </w:tcPr>
          <w:p>
            <w:pPr>
              <w:spacing w:after="0"/>
              <w:rPr>
                <w:sz w:val="17"/>
                <w:szCs w:val="17"/>
                <w:color w:val="auto"/>
              </w:rPr>
            </w:pPr>
          </w:p>
        </w:tc>
        <w:tc>
          <w:tcPr>
            <w:tcW w:w="20" w:type="dxa"/>
            <w:vAlign w:val="bottom"/>
            <w:shd w:val="clear" w:color="auto" w:fill="E7E7E2"/>
          </w:tcPr>
          <w:p>
            <w:pPr>
              <w:spacing w:after="0"/>
              <w:rPr>
                <w:sz w:val="17"/>
                <w:szCs w:val="17"/>
                <w:color w:val="auto"/>
              </w:rPr>
            </w:pPr>
          </w:p>
        </w:tc>
        <w:tc>
          <w:tcPr>
            <w:tcW w:w="320" w:type="dxa"/>
            <w:vAlign w:val="bottom"/>
            <w:shd w:val="clear" w:color="auto" w:fill="E7E7E2"/>
          </w:tcPr>
          <w:p>
            <w:pPr>
              <w:ind w:left="40"/>
              <w:spacing w:after="0"/>
              <w:rPr>
                <w:sz w:val="20"/>
                <w:szCs w:val="20"/>
                <w:color w:val="auto"/>
              </w:rPr>
            </w:pPr>
            <w:r>
              <w:rPr>
                <w:rFonts w:ascii="Arial" w:cs="Arial" w:eastAsia="Arial" w:hAnsi="Arial"/>
                <w:sz w:val="16"/>
                <w:szCs w:val="16"/>
                <w:color w:val="auto"/>
                <w:w w:val="97"/>
              </w:rPr>
              <w:t>N/A</w:t>
            </w:r>
          </w:p>
        </w:tc>
        <w:tc>
          <w:tcPr>
            <w:tcW w:w="20" w:type="dxa"/>
            <w:vAlign w:val="bottom"/>
            <w:vMerge w:val="continue"/>
          </w:tcPr>
          <w:p>
            <w:pPr>
              <w:spacing w:after="0"/>
              <w:rPr>
                <w:sz w:val="17"/>
                <w:szCs w:val="17"/>
                <w:color w:val="auto"/>
              </w:rPr>
            </w:pPr>
          </w:p>
        </w:tc>
        <w:tc>
          <w:tcPr>
            <w:tcW w:w="340" w:type="dxa"/>
            <w:vAlign w:val="bottom"/>
            <w:shd w:val="clear" w:color="auto" w:fill="E7E7E2"/>
          </w:tcPr>
          <w:p>
            <w:pPr>
              <w:spacing w:after="0"/>
              <w:rPr>
                <w:sz w:val="17"/>
                <w:szCs w:val="17"/>
                <w:color w:val="auto"/>
              </w:rPr>
            </w:pPr>
          </w:p>
        </w:tc>
        <w:tc>
          <w:tcPr>
            <w:tcW w:w="20" w:type="dxa"/>
            <w:vAlign w:val="bottom"/>
            <w:shd w:val="clear" w:color="auto" w:fill="E7E7E2"/>
          </w:tcPr>
          <w:p>
            <w:pPr>
              <w:spacing w:after="0"/>
              <w:rPr>
                <w:sz w:val="17"/>
                <w:szCs w:val="17"/>
                <w:color w:val="auto"/>
              </w:rPr>
            </w:pPr>
          </w:p>
        </w:tc>
        <w:tc>
          <w:tcPr>
            <w:tcW w:w="900" w:type="dxa"/>
            <w:vAlign w:val="bottom"/>
            <w:shd w:val="clear" w:color="auto" w:fill="E7E7E2"/>
          </w:tcPr>
          <w:p>
            <w:pPr>
              <w:spacing w:after="0"/>
              <w:rPr>
                <w:sz w:val="17"/>
                <w:szCs w:val="17"/>
                <w:color w:val="auto"/>
              </w:rPr>
            </w:pPr>
          </w:p>
        </w:tc>
        <w:tc>
          <w:tcPr>
            <w:tcW w:w="20" w:type="dxa"/>
            <w:vAlign w:val="bottom"/>
            <w:shd w:val="clear" w:color="auto" w:fill="E7E7E2"/>
          </w:tcPr>
          <w:p>
            <w:pPr>
              <w:spacing w:after="0"/>
              <w:rPr>
                <w:sz w:val="17"/>
                <w:szCs w:val="17"/>
                <w:color w:val="auto"/>
              </w:rPr>
            </w:pPr>
          </w:p>
        </w:tc>
        <w:tc>
          <w:tcPr>
            <w:tcW w:w="760" w:type="dxa"/>
            <w:vAlign w:val="bottom"/>
            <w:shd w:val="clear" w:color="auto" w:fill="E7E7E2"/>
          </w:tcPr>
          <w:p>
            <w:pPr>
              <w:ind w:left="460"/>
              <w:spacing w:after="0"/>
              <w:rPr>
                <w:sz w:val="20"/>
                <w:szCs w:val="20"/>
                <w:color w:val="auto"/>
              </w:rPr>
            </w:pPr>
            <w:r>
              <w:rPr>
                <w:rFonts w:ascii="Arial" w:cs="Arial" w:eastAsia="Arial" w:hAnsi="Arial"/>
                <w:sz w:val="16"/>
                <w:szCs w:val="16"/>
                <w:color w:val="auto"/>
              </w:rPr>
              <w:t>N/A</w:t>
            </w:r>
          </w:p>
        </w:tc>
        <w:tc>
          <w:tcPr>
            <w:tcW w:w="20" w:type="dxa"/>
            <w:vAlign w:val="bottom"/>
            <w:vMerge w:val="continue"/>
          </w:tcPr>
          <w:p>
            <w:pPr>
              <w:spacing w:after="0"/>
              <w:rPr>
                <w:sz w:val="17"/>
                <w:szCs w:val="17"/>
                <w:color w:val="auto"/>
              </w:rPr>
            </w:pPr>
          </w:p>
        </w:tc>
        <w:tc>
          <w:tcPr>
            <w:tcW w:w="120" w:type="dxa"/>
            <w:vAlign w:val="bottom"/>
            <w:tcBorders>
              <w:left w:val="single" w:sz="8" w:color="E7E7E2"/>
            </w:tcBorders>
            <w:shd w:val="clear" w:color="auto" w:fill="E7E7E2"/>
          </w:tcPr>
          <w:p>
            <w:pPr>
              <w:spacing w:after="0"/>
              <w:rPr>
                <w:sz w:val="17"/>
                <w:szCs w:val="17"/>
                <w:color w:val="auto"/>
              </w:rPr>
            </w:pPr>
          </w:p>
        </w:tc>
        <w:tc>
          <w:tcPr>
            <w:tcW w:w="20" w:type="dxa"/>
            <w:vAlign w:val="bottom"/>
            <w:shd w:val="clear" w:color="auto" w:fill="E7E7E2"/>
          </w:tcPr>
          <w:p>
            <w:pPr>
              <w:spacing w:after="0"/>
              <w:rPr>
                <w:sz w:val="17"/>
                <w:szCs w:val="17"/>
                <w:color w:val="auto"/>
              </w:rPr>
            </w:pPr>
          </w:p>
        </w:tc>
        <w:tc>
          <w:tcPr>
            <w:tcW w:w="520" w:type="dxa"/>
            <w:vAlign w:val="bottom"/>
            <w:shd w:val="clear" w:color="auto" w:fill="E7E7E2"/>
          </w:tcPr>
          <w:p>
            <w:pPr>
              <w:jc w:val="center"/>
              <w:ind w:right="80"/>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7"/>
                <w:szCs w:val="17"/>
                <w:color w:val="auto"/>
              </w:rPr>
            </w:pPr>
          </w:p>
        </w:tc>
        <w:tc>
          <w:tcPr>
            <w:tcW w:w="380" w:type="dxa"/>
            <w:vAlign w:val="bottom"/>
            <w:shd w:val="clear" w:color="auto" w:fill="E7E7E2"/>
          </w:tcPr>
          <w:p>
            <w:pPr>
              <w:spacing w:after="0"/>
              <w:rPr>
                <w:sz w:val="17"/>
                <w:szCs w:val="17"/>
                <w:color w:val="auto"/>
              </w:rPr>
            </w:pPr>
          </w:p>
        </w:tc>
        <w:tc>
          <w:tcPr>
            <w:tcW w:w="20" w:type="dxa"/>
            <w:vAlign w:val="bottom"/>
            <w:shd w:val="clear" w:color="auto" w:fill="E7E7E2"/>
          </w:tcPr>
          <w:p>
            <w:pPr>
              <w:spacing w:after="0"/>
              <w:rPr>
                <w:sz w:val="17"/>
                <w:szCs w:val="17"/>
                <w:color w:val="auto"/>
              </w:rPr>
            </w:pPr>
          </w:p>
        </w:tc>
        <w:tc>
          <w:tcPr>
            <w:tcW w:w="720" w:type="dxa"/>
            <w:vAlign w:val="bottom"/>
            <w:shd w:val="clear" w:color="auto" w:fill="E7E7E2"/>
          </w:tcPr>
          <w:p>
            <w:pPr>
              <w:ind w:left="20"/>
              <w:spacing w:after="0"/>
              <w:rPr>
                <w:sz w:val="20"/>
                <w:szCs w:val="20"/>
                <w:color w:val="auto"/>
              </w:rPr>
            </w:pPr>
            <w:r>
              <w:rPr>
                <w:rFonts w:ascii="Arial" w:cs="Arial" w:eastAsia="Arial" w:hAnsi="Arial"/>
                <w:sz w:val="16"/>
                <w:szCs w:val="16"/>
                <w:color w:val="auto"/>
              </w:rPr>
              <w:t>N/A</w:t>
            </w:r>
          </w:p>
        </w:tc>
        <w:tc>
          <w:tcPr>
            <w:tcW w:w="20" w:type="dxa"/>
            <w:vAlign w:val="bottom"/>
            <w:vMerge w:val="continue"/>
          </w:tcPr>
          <w:p>
            <w:pPr>
              <w:spacing w:after="0"/>
              <w:rPr>
                <w:sz w:val="17"/>
                <w:szCs w:val="17"/>
                <w:color w:val="auto"/>
              </w:rPr>
            </w:pPr>
          </w:p>
        </w:tc>
        <w:tc>
          <w:tcPr>
            <w:tcW w:w="220" w:type="dxa"/>
            <w:vAlign w:val="bottom"/>
            <w:shd w:val="clear" w:color="auto" w:fill="E7E7E2"/>
          </w:tcPr>
          <w:p>
            <w:pPr>
              <w:spacing w:after="0"/>
              <w:rPr>
                <w:sz w:val="17"/>
                <w:szCs w:val="17"/>
                <w:color w:val="auto"/>
              </w:rPr>
            </w:pPr>
          </w:p>
        </w:tc>
        <w:tc>
          <w:tcPr>
            <w:tcW w:w="20" w:type="dxa"/>
            <w:vAlign w:val="bottom"/>
            <w:shd w:val="clear" w:color="auto" w:fill="E7E7E2"/>
          </w:tcPr>
          <w:p>
            <w:pPr>
              <w:spacing w:after="0"/>
              <w:rPr>
                <w:sz w:val="17"/>
                <w:szCs w:val="17"/>
                <w:color w:val="auto"/>
              </w:rPr>
            </w:pPr>
          </w:p>
        </w:tc>
        <w:tc>
          <w:tcPr>
            <w:tcW w:w="660" w:type="dxa"/>
            <w:vAlign w:val="bottom"/>
            <w:gridSpan w:val="2"/>
            <w:shd w:val="clear" w:color="auto" w:fill="E7E7E2"/>
          </w:tcPr>
          <w:p>
            <w:pPr>
              <w:jc w:val="center"/>
              <w:ind w:right="260"/>
              <w:spacing w:after="0"/>
              <w:rPr>
                <w:sz w:val="20"/>
                <w:szCs w:val="20"/>
                <w:color w:val="auto"/>
              </w:rPr>
            </w:pPr>
            <w:r>
              <w:rPr>
                <w:rFonts w:ascii="Arial" w:cs="Arial" w:eastAsia="Arial" w:hAnsi="Arial"/>
                <w:sz w:val="16"/>
                <w:szCs w:val="16"/>
                <w:color w:val="auto"/>
              </w:rPr>
              <w:t>N/A</w:t>
            </w:r>
          </w:p>
        </w:tc>
        <w:tc>
          <w:tcPr>
            <w:tcW w:w="4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360"/>
      </w:cols>
      <w:pgMar w:left="300" w:top="141" w:right="239" w:bottom="457"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1)"/>
      <w:numFmt w:val="decimal"/>
      <w:start w:val="1"/>
    </w:lvl>
  </w:abstractNum>
  <w:abstractNum w:abstractNumId="2">
    <w:nsid w:val="6B68079A"/>
    <w:multiLevelType w:val="hybridMultilevel"/>
    <w:lvl w:ilvl="0">
      <w:lvlJc w:val="left"/>
      <w:lvlText w:val="•"/>
      <w:numFmt w:val="bullet"/>
      <w:start w:val="1"/>
    </w:lvl>
  </w:abstractNum>
  <w:abstractNum w:abstractNumId="3">
    <w:nsid w:val="4E6AFB66"/>
    <w:multiLevelType w:val="hybridMultilevel"/>
    <w:lvl w:ilvl="0">
      <w:lvlJc w:val="left"/>
      <w:lvlText w:val="•"/>
      <w:numFmt w:val="bullet"/>
      <w:start w:val="1"/>
    </w:lvl>
  </w:abstractNum>
  <w:abstractNum w:abstractNumId="4">
    <w:nsid w:val="25E45D32"/>
    <w:multiLevelType w:val="hybridMultilevel"/>
    <w:lvl w:ilvl="0">
      <w:lvlJc w:val="left"/>
      <w:lvlText w:val="•"/>
      <w:numFmt w:val="bullet"/>
      <w:start w:val="1"/>
    </w:lvl>
  </w:abstractNum>
  <w:abstractNum w:abstractNumId="5">
    <w:nsid w:val="519B500D"/>
    <w:multiLevelType w:val="hybridMultilevel"/>
    <w:lvl w:ilvl="0">
      <w:lvlJc w:val="left"/>
      <w:lvlText w:val="•"/>
      <w:numFmt w:val="bullet"/>
      <w:start w:val="1"/>
    </w:lvl>
  </w:abstractNum>
  <w:abstractNum w:abstractNumId="6">
    <w:nsid w:val="431BD7B7"/>
    <w:multiLevelType w:val="hybridMultilevel"/>
    <w:lvl w:ilvl="0">
      <w:lvlJc w:val="left"/>
      <w:lvlText w:val="•"/>
      <w:numFmt w:val="bullet"/>
      <w:start w:val="1"/>
    </w:lvl>
  </w:abstractNum>
  <w:abstractNum w:abstractNumId="7">
    <w:nsid w:val="3F2DBA31"/>
    <w:multiLevelType w:val="hybridMultilevel"/>
    <w:lvl w:ilvl="0">
      <w:lvlJc w:val="left"/>
      <w:lvlText w:val="•"/>
      <w:numFmt w:val="bullet"/>
      <w:start w:val="1"/>
    </w:lvl>
  </w:abstractNum>
  <w:abstractNum w:abstractNumId="8">
    <w:nsid w:val="7C83E458"/>
    <w:multiLevelType w:val="hybridMultilevel"/>
    <w:lvl w:ilvl="0">
      <w:lvlJc w:val="left"/>
      <w:lvlText w:val="•"/>
      <w:numFmt w:val="bullet"/>
      <w:start w:val="1"/>
    </w:lvl>
  </w:abstractNum>
  <w:abstractNum w:abstractNumId="9">
    <w:nsid w:val="257130A3"/>
    <w:multiLevelType w:val="hybridMultilevel"/>
    <w:lvl w:ilvl="0">
      <w:lvlJc w:val="left"/>
      <w:lvlText w:val="•"/>
      <w:numFmt w:val="bullet"/>
      <w:start w:val="1"/>
    </w:lvl>
  </w:abstractNum>
  <w:abstractNum w:abstractNumId="10">
    <w:nsid w:val="62BBD95A"/>
    <w:multiLevelType w:val="hybridMultilevel"/>
    <w:lvl w:ilvl="0">
      <w:lvlJc w:val="left"/>
      <w:lvlText w:val="(%1)"/>
      <w:numFmt w:val="lowerLetter"/>
      <w:start w:val="5"/>
    </w:lvl>
  </w:abstractNum>
  <w:abstractNum w:abstractNumId="11">
    <w:nsid w:val="436C6125"/>
    <w:multiLevelType w:val="hybridMultilevel"/>
    <w:lvl w:ilvl="0">
      <w:lvlJc w:val="left"/>
      <w:lvlText w:val="•"/>
      <w:numFmt w:val="bullet"/>
      <w:start w:val="1"/>
    </w:lvl>
  </w:abstractNum>
  <w:abstractNum w:abstractNumId="12">
    <w:nsid w:val="628C895D"/>
    <w:multiLevelType w:val="hybridMultilevel"/>
    <w:lvl w:ilvl="0">
      <w:lvlJc w:val="left"/>
      <w:lvlText w:val="•"/>
      <w:numFmt w:val="bullet"/>
      <w:start w:val="1"/>
    </w:lvl>
  </w:abstractNum>
  <w:abstractNum w:abstractNumId="13">
    <w:nsid w:val="333AB105"/>
    <w:multiLevelType w:val="hybridMultilevel"/>
    <w:lvl w:ilvl="0">
      <w:lvlJc w:val="left"/>
      <w:lvlText w:val="•"/>
      <w:numFmt w:val="bullet"/>
      <w:start w:val="1"/>
    </w:lvl>
  </w:abstractNum>
  <w:abstractNum w:abstractNumId="14">
    <w:nsid w:val="721DA317"/>
    <w:multiLevelType w:val="hybridMultilevel"/>
    <w:lvl w:ilvl="0">
      <w:lvlJc w:val="left"/>
      <w:lvlText w:val="•"/>
      <w:numFmt w:val="bullet"/>
      <w:start w:val="1"/>
    </w:lvl>
  </w:abstractNum>
  <w:abstractNum w:abstractNumId="15">
    <w:nsid w:val="2443A858"/>
    <w:multiLevelType w:val="hybridMultilevel"/>
    <w:lvl w:ilvl="0">
      <w:lvlJc w:val="left"/>
      <w:lvlText w:val="•"/>
      <w:numFmt w:val="bullet"/>
      <w:start w:val="1"/>
    </w:lvl>
  </w:abstractNum>
  <w:abstractNum w:abstractNumId="16">
    <w:nsid w:val="2D1D5AE9"/>
    <w:multiLevelType w:val="hybridMultilevel"/>
    <w:lvl w:ilvl="0">
      <w:lvlJc w:val="left"/>
      <w:lvlText w:val="•"/>
      <w:numFmt w:val="bullet"/>
      <w:start w:val="1"/>
    </w:lvl>
  </w:abstractNum>
  <w:abstractNum w:abstractNumId="17">
    <w:nsid w:val="6763845E"/>
    <w:multiLevelType w:val="hybridMultilevel"/>
    <w:lvl w:ilvl="0">
      <w:lvlJc w:val="left"/>
      <w:lvlText w:val="•"/>
      <w:numFmt w:val="bullet"/>
      <w:start w:val="1"/>
    </w:lvl>
  </w:abstractNum>
  <w:abstractNum w:abstractNumId="18">
    <w:nsid w:val="75A2A8D4"/>
    <w:multiLevelType w:val="hybridMultilevel"/>
    <w:lvl w:ilvl="0">
      <w:lvlJc w:val="left"/>
      <w:lvlText w:val="•"/>
      <w:numFmt w:val="bullet"/>
      <w:start w:val="1"/>
    </w:lvl>
  </w:abstractNum>
  <w:abstractNum w:abstractNumId="19">
    <w:nsid w:val="8EDBDAB"/>
    <w:multiLevelType w:val="hybridMultilevel"/>
    <w:lvl w:ilvl="0">
      <w:lvlJc w:val="left"/>
      <w:lvlText w:val="•"/>
      <w:numFmt w:val="bullet"/>
      <w:start w:val="1"/>
    </w:lvl>
  </w:abstractNum>
  <w:abstractNum w:abstractNumId="20">
    <w:nsid w:val="79838CB2"/>
    <w:multiLevelType w:val="hybridMultilevel"/>
    <w:lvl w:ilvl="0">
      <w:lvlJc w:val="left"/>
      <w:lvlText w:val="•"/>
      <w:numFmt w:val="bullet"/>
      <w:start w:val="1"/>
    </w:lvl>
  </w:abstractNum>
  <w:abstractNum w:abstractNumId="21">
    <w:nsid w:val="4353D0CD"/>
    <w:multiLevelType w:val="hybridMultilevel"/>
    <w:lvl w:ilvl="0">
      <w:lvlJc w:val="left"/>
      <w:lvlText w:val="•"/>
      <w:numFmt w:val="bullet"/>
      <w:start w:val="1"/>
    </w:lvl>
  </w:abstractNum>
  <w:abstractNum w:abstractNumId="22">
    <w:nsid w:val="B03E0C6"/>
    <w:multiLevelType w:val="hybridMultilevel"/>
    <w:lvl w:ilvl="0">
      <w:lvlJc w:val="left"/>
      <w:lvlText w:val="•"/>
      <w:numFmt w:val="bullet"/>
      <w:start w:val="1"/>
    </w:lvl>
  </w:abstractNum>
  <w:abstractNum w:abstractNumId="23">
    <w:nsid w:val="189A769B"/>
    <w:multiLevelType w:val="hybridMultilevel"/>
    <w:lvl w:ilvl="0">
      <w:lvlJc w:val="left"/>
      <w:lvlText w:val="•"/>
      <w:numFmt w:val="bullet"/>
      <w:start w:val="1"/>
    </w:lvl>
  </w:abstractNum>
  <w:abstractNum w:abstractNumId="24">
    <w:nsid w:val="54E49EB4"/>
    <w:multiLevelType w:val="hybridMultilevel"/>
    <w:lvl w:ilvl="0">
      <w:lvlJc w:val="left"/>
      <w:lvlText w:val="•"/>
      <w:numFmt w:val="bullet"/>
      <w:start w:val="1"/>
    </w:lvl>
  </w:abstractNum>
  <w:abstractNum w:abstractNumId="25">
    <w:nsid w:val="71F32454"/>
    <w:multiLevelType w:val="hybridMultilevel"/>
    <w:lvl w:ilvl="0">
      <w:lvlJc w:val="left"/>
      <w:lvlText w:val="•"/>
      <w:numFmt w:val="bullet"/>
      <w:start w:val="1"/>
    </w:lvl>
  </w:abstractNum>
  <w:abstractNum w:abstractNumId="26">
    <w:nsid w:val="2CA88611"/>
    <w:multiLevelType w:val="hybridMultilevel"/>
    <w:lvl w:ilvl="0">
      <w:lvlJc w:val="left"/>
      <w:lvlText w:val="•"/>
      <w:numFmt w:val="bullet"/>
      <w:start w:val="1"/>
    </w:lvl>
  </w:abstractNum>
  <w:abstractNum w:abstractNumId="27">
    <w:nsid w:val="836C40E"/>
    <w:multiLevelType w:val="hybridMultilevel"/>
    <w:lvl w:ilvl="0">
      <w:lvlJc w:val="left"/>
      <w:lvlText w:val="•"/>
      <w:numFmt w:val="bullet"/>
      <w:start w:val="1"/>
    </w:lvl>
  </w:abstractNum>
  <w:abstractNum w:abstractNumId="28">
    <w:nsid w:val="2901D82"/>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30" Type="http://schemas.openxmlformats.org/officeDocument/2006/relationships/image" Target="media/image9.png"/><Relationship Id="rId31" Type="http://schemas.openxmlformats.org/officeDocument/2006/relationships/image" Target="media/image10.png"/><Relationship Id="rId32" Type="http://schemas.openxmlformats.org/officeDocument/2006/relationships/image" Target="media/image11.png"/><Relationship Id="rId33" Type="http://schemas.openxmlformats.org/officeDocument/2006/relationships/image" Target="media/image12.png"/><Relationship Id="rId34" Type="http://schemas.openxmlformats.org/officeDocument/2006/relationships/image" Target="media/image13.png"/><Relationship Id="rId35" Type="http://schemas.openxmlformats.org/officeDocument/2006/relationships/image" Target="media/image14.png"/><Relationship Id="rId36" Type="http://schemas.openxmlformats.org/officeDocument/2006/relationships/image" Target="media/image15.png"/><Relationship Id="rId37" Type="http://schemas.openxmlformats.org/officeDocument/2006/relationships/image" Target="media/image16.png"/><Relationship Id="rId38" Type="http://schemas.openxmlformats.org/officeDocument/2006/relationships/image" Target="media/image17.png"/><Relationship Id="rId39" Type="http://schemas.openxmlformats.org/officeDocument/2006/relationships/image" Target="media/image18.png"/><Relationship Id="rId40" Type="http://schemas.openxmlformats.org/officeDocument/2006/relationships/image" Target="media/image19.png"/><Relationship Id="rId41" Type="http://schemas.openxmlformats.org/officeDocument/2006/relationships/image" Target="media/image20.png"/><Relationship Id="rId42" Type="http://schemas.openxmlformats.org/officeDocument/2006/relationships/image" Target="media/image21.png"/><Relationship Id="rId43" Type="http://schemas.openxmlformats.org/officeDocument/2006/relationships/image" Target="media/image22.png"/><Relationship Id="rId44" Type="http://schemas.openxmlformats.org/officeDocument/2006/relationships/image" Target="media/image23.png"/><Relationship Id="rId45" Type="http://schemas.openxmlformats.org/officeDocument/2006/relationships/image" Target="media/image24.png"/><Relationship Id="rId46" Type="http://schemas.openxmlformats.org/officeDocument/2006/relationships/image" Target="media/image25.png"/><Relationship Id="rId47" Type="http://schemas.openxmlformats.org/officeDocument/2006/relationships/image" Target="media/image26.png"/><Relationship Id="rId48" Type="http://schemas.openxmlformats.org/officeDocument/2006/relationships/image" Target="media/image27.png"/><Relationship Id="rId49" Type="http://schemas.openxmlformats.org/officeDocument/2006/relationships/image" Target="media/image28.png"/><Relationship Id="rId50" Type="http://schemas.openxmlformats.org/officeDocument/2006/relationships/image" Target="media/image29.png"/><Relationship Id="rId51" Type="http://schemas.openxmlformats.org/officeDocument/2006/relationships/image" Target="media/image30.jpeg"/><Relationship Id="rId52" Type="http://schemas.openxmlformats.org/officeDocument/2006/relationships/image" Target="media/image31.jpeg"/><Relationship Id="rId53" Type="http://schemas.openxmlformats.org/officeDocument/2006/relationships/image" Target="media/image32.png"/><Relationship Id="rId54" Type="http://schemas.openxmlformats.org/officeDocument/2006/relationships/image" Target="media/image33.png"/><Relationship Id="rId55" Type="http://schemas.openxmlformats.org/officeDocument/2006/relationships/image" Target="media/image34.png"/><Relationship Id="rId56" Type="http://schemas.openxmlformats.org/officeDocument/2006/relationships/image" Target="media/image35.png"/><Relationship Id="rId57" Type="http://schemas.openxmlformats.org/officeDocument/2006/relationships/image" Target="media/image36.png"/><Relationship Id="rId58" Type="http://schemas.openxmlformats.org/officeDocument/2006/relationships/image" Target="media/image37.png"/><Relationship Id="rId59" Type="http://schemas.openxmlformats.org/officeDocument/2006/relationships/image" Target="media/image38.png"/><Relationship Id="rId60" Type="http://schemas.openxmlformats.org/officeDocument/2006/relationships/image" Target="media/image39.png"/><Relationship Id="rId61" Type="http://schemas.openxmlformats.org/officeDocument/2006/relationships/image" Target="media/image40.png"/><Relationship Id="rId62" Type="http://schemas.openxmlformats.org/officeDocument/2006/relationships/image" Target="media/image41.png"/><Relationship Id="rId63" Type="http://schemas.openxmlformats.org/officeDocument/2006/relationships/image" Target="media/image42.png"/><Relationship Id="rId64" Type="http://schemas.openxmlformats.org/officeDocument/2006/relationships/image" Target="media/image43.png"/><Relationship Id="rId65" Type="http://schemas.openxmlformats.org/officeDocument/2006/relationships/image" Target="media/image44.png"/><Relationship Id="rId66" Type="http://schemas.openxmlformats.org/officeDocument/2006/relationships/image" Target="media/image45.png"/><Relationship Id="rId67" Type="http://schemas.openxmlformats.org/officeDocument/2006/relationships/image" Target="media/image46.png"/><Relationship Id="rId68" Type="http://schemas.openxmlformats.org/officeDocument/2006/relationships/image" Target="media/image47.png"/><Relationship Id="rId69" Type="http://schemas.openxmlformats.org/officeDocument/2006/relationships/image" Target="media/image48.png"/><Relationship Id="rId70" Type="http://schemas.openxmlformats.org/officeDocument/2006/relationships/image" Target="media/image49.png"/><Relationship Id="rId71" Type="http://schemas.openxmlformats.org/officeDocument/2006/relationships/image" Target="media/image50.png"/><Relationship Id="rId72" Type="http://schemas.openxmlformats.org/officeDocument/2006/relationships/image" Target="media/image51.png"/><Relationship Id="rId73" Type="http://schemas.openxmlformats.org/officeDocument/2006/relationships/image" Target="media/image52.png"/><Relationship Id="rId74" Type="http://schemas.openxmlformats.org/officeDocument/2006/relationships/image" Target="media/image53.png"/><Relationship Id="rId75" Type="http://schemas.openxmlformats.org/officeDocument/2006/relationships/image" Target="media/image54.png"/><Relationship Id="rId76" Type="http://schemas.openxmlformats.org/officeDocument/2006/relationships/image" Target="media/image55.png"/><Relationship Id="rId77" Type="http://schemas.openxmlformats.org/officeDocument/2006/relationships/image" Target="media/image56.png"/><Relationship Id="rId78" Type="http://schemas.openxmlformats.org/officeDocument/2006/relationships/image" Target="media/image57.png"/><Relationship Id="rId79" Type="http://schemas.openxmlformats.org/officeDocument/2006/relationships/image" Target="media/image58.png"/><Relationship Id="rId80" Type="http://schemas.openxmlformats.org/officeDocument/2006/relationships/image" Target="media/image59.png"/><Relationship Id="rId81" Type="http://schemas.openxmlformats.org/officeDocument/2006/relationships/image" Target="media/image60.png"/><Relationship Id="rId82" Type="http://schemas.openxmlformats.org/officeDocument/2006/relationships/image" Target="media/image61.png"/><Relationship Id="rId83" Type="http://schemas.openxmlformats.org/officeDocument/2006/relationships/image" Target="media/image62.png"/><Relationship Id="rId84" Type="http://schemas.openxmlformats.org/officeDocument/2006/relationships/image" Target="media/image63.png"/><Relationship Id="rId111" Type="http://schemas.openxmlformats.org/officeDocument/2006/relationships/image" Target="media/image64.png"/><Relationship Id="rId112" Type="http://schemas.openxmlformats.org/officeDocument/2006/relationships/image" Target="media/image65.png"/><Relationship Id="rId113" Type="http://schemas.openxmlformats.org/officeDocument/2006/relationships/image" Target="media/image66.png"/><Relationship Id="rId114" Type="http://schemas.openxmlformats.org/officeDocument/2006/relationships/image" Target="media/image67.png"/><Relationship Id="rId115" Type="http://schemas.openxmlformats.org/officeDocument/2006/relationships/image" Target="media/image68.jpeg"/><Relationship Id="rId116" Type="http://schemas.openxmlformats.org/officeDocument/2006/relationships/image" Target="media/image69.png"/><Relationship Id="rId117" Type="http://schemas.openxmlformats.org/officeDocument/2006/relationships/image" Target="media/image70.png"/><Relationship Id="rId118" Type="http://schemas.openxmlformats.org/officeDocument/2006/relationships/image" Target="media/image71.png"/><Relationship Id="rId119" Type="http://schemas.openxmlformats.org/officeDocument/2006/relationships/image" Target="media/image72.png"/><Relationship Id="rId120" Type="http://schemas.openxmlformats.org/officeDocument/2006/relationships/image" Target="media/image73.png"/><Relationship Id="rId121" Type="http://schemas.openxmlformats.org/officeDocument/2006/relationships/image" Target="media/image74.png"/><Relationship Id="rId16" Type="http://schemas.openxmlformats.org/officeDocument/2006/relationships/hyperlink" Target="http://www.sec.gov/ix?doc=/Archives/edgar/data/0001692115/000169211525000082/swx-20241231.htm" TargetMode="External"/><Relationship Id="rId17" Type="http://schemas.openxmlformats.org/officeDocument/2006/relationships/hyperlink" Target="http://www.sec.gov/ix?doc=/Archives/edgar/data/0001692115/000169211525000119/swx-20250331.htm" TargetMode="External"/><Relationship Id="rId18" Type="http://schemas.openxmlformats.org/officeDocument/2006/relationships/hyperlink" Target="http://www.sec.gov/ix?doc=/Archives/edgar/data/0001692115/000169211525000141/swx-20250630.htm" TargetMode="External"/><Relationship Id="rId19" Type="http://schemas.openxmlformats.org/officeDocument/2006/relationships/hyperlink" Target="http://www.sec.gov/ix?doc=/Archives/edgar/data/0001692115/000169211525000149/swx-20250930.htm" TargetMode="External"/><Relationship Id="rId20" Type="http://schemas.openxmlformats.org/officeDocument/2006/relationships/hyperlink" Target="http://www.sec.gov/ix?doc=/Archives/edgar/data/0001692115/000169211525000075/swx-20250220.htm" TargetMode="External"/><Relationship Id="rId21" Type="http://schemas.openxmlformats.org/officeDocument/2006/relationships/hyperlink" Target="http://www.sec.gov/ix?doc=/Archives/edgar/data/0001692115/000119312525053898/d939854d8k.htm" TargetMode="External"/><Relationship Id="rId22" Type="http://schemas.openxmlformats.org/officeDocument/2006/relationships/hyperlink" Target="http://www.sec.gov/ix?doc=/Archives/edgar/data/0001692115/000169211525000107/swx-20250501.htm" TargetMode="External"/><Relationship Id="rId23" Type="http://schemas.openxmlformats.org/officeDocument/2006/relationships/hyperlink" Target="http://www.sec.gov/ix?doc=/Archives/edgar/data/0001692115/000119312525125112/d945768d8k.htm" TargetMode="External"/><Relationship Id="rId24" Type="http://schemas.openxmlformats.org/officeDocument/2006/relationships/hyperlink" Target="http://www.sec.gov/ix?doc=/Archives/edgar/data/0001692115/000119312525197209/d26084d8k.htm" TargetMode="External"/><Relationship Id="rId25" Type="http://schemas.openxmlformats.org/officeDocument/2006/relationships/hyperlink" Target="http://www.sec.gov/ix?doc=/Archives/edgar/data/0001692115/000119312525239100/d948923d8k.htm" TargetMode="External"/><Relationship Id="rId26" Type="http://schemas.openxmlformats.org/officeDocument/2006/relationships/hyperlink" Target="http://www.sec.gov/ix?doc=/Archives/edgar/data/0001692115/000119312525266887/d40583d8k.htm" TargetMode="External"/><Relationship Id="rId27" Type="http://schemas.openxmlformats.org/officeDocument/2006/relationships/hyperlink" Target="http://www.sec.gov/ix?doc=/Archives/edgar/data/92416/000119312525300528/d858076d8k.htm" TargetMode="External"/><Relationship Id="rId28" Type="http://schemas.openxmlformats.org/officeDocument/2006/relationships/hyperlink" Target="http://www.sec.gov/ix?doc=/Archives/edgar/data/0001692115/000169211525000094/swx-20250317.htm" TargetMode="External"/><Relationship Id="rId29" Type="http://schemas.openxmlformats.org/officeDocument/2006/relationships/hyperlink" Target="http://www.sec.gov/Archives/edgar/data/92416/000169211524000038/swx123123ex424.htm" TargetMode="External"/><Relationship Id="rId85" Type="http://schemas.openxmlformats.org/officeDocument/2006/relationships/hyperlink" Target="http://www.sec.gov/Archives/edgar/data/0001692115/000169211523000056/swx-20221231.htm" TargetMode="External"/><Relationship Id="rId86" Type="http://schemas.openxmlformats.org/officeDocument/2006/relationships/hyperlink" Target="http://www.sec.gov/Archives/edgar/data/1692115/000169211523000056/swx-20221231.htm" TargetMode="External"/><Relationship Id="rId87" Type="http://schemas.openxmlformats.org/officeDocument/2006/relationships/hyperlink" Target="http://www.sec.gov/Archives/edgar/data/0001692115/000169211523000110/swx-20230331.htm" TargetMode="External"/><Relationship Id="rId88" Type="http://schemas.openxmlformats.org/officeDocument/2006/relationships/hyperlink" Target="http://www.sec.gov/Archives/edgar/data/0001692115/000169211523000133/swx-20230630.htm" TargetMode="External"/><Relationship Id="rId89" Type="http://schemas.openxmlformats.org/officeDocument/2006/relationships/hyperlink" Target="http://www.sec.gov/Archives/edgar/data/0001692115/000169211523000143/swx-20230930.htm" TargetMode="External"/><Relationship Id="rId90" Type="http://schemas.openxmlformats.org/officeDocument/2006/relationships/hyperlink" Target="http://www.sec.gov/Archives/edgar/data/0000092416/000169211523000143/swx-20230930.htm" TargetMode="External"/><Relationship Id="rId91" Type="http://schemas.openxmlformats.org/officeDocument/2006/relationships/hyperlink" Target="http://www.sec.gov/Archives/edgar/data/0001692115/000169211523000079/swx-20230321.htm" TargetMode="External"/><Relationship Id="rId92" Type="http://schemas.openxmlformats.org/officeDocument/2006/relationships/hyperlink" Target="http://www.sec.gov/Archives/edgar/data/0001692115/000119312523043486/d367217d8ka.htm" TargetMode="External"/><Relationship Id="rId93" Type="http://schemas.openxmlformats.org/officeDocument/2006/relationships/hyperlink" Target="http://www.sec.gov/Archives/edgar/data/0001692115/000119312523067592/d481926d8k.htm" TargetMode="External"/><Relationship Id="rId94" Type="http://schemas.openxmlformats.org/officeDocument/2006/relationships/hyperlink" Target="http://www.sec.gov/Archives/edgar/data/0001692115/000119312523078049/d360456d8k.htm" TargetMode="External"/><Relationship Id="rId95" Type="http://schemas.openxmlformats.org/officeDocument/2006/relationships/hyperlink" Target="http://www.sec.gov/Archives/edgar/data/0001692115/000169211523000102/swx-20230329.htm" TargetMode="External"/><Relationship Id="rId96" Type="http://schemas.openxmlformats.org/officeDocument/2006/relationships/hyperlink" Target="http://www.sec.gov/Archives/edgar/data/0001692115/000119312523103864/d484535d8k.htm" TargetMode="External"/><Relationship Id="rId97" Type="http://schemas.openxmlformats.org/officeDocument/2006/relationships/hyperlink" Target="http://www.sec.gov/Archives/edgar/data/0001692115/000119312523126894/d485601d8k.htm" TargetMode="External"/><Relationship Id="rId98" Type="http://schemas.openxmlformats.org/officeDocument/2006/relationships/hyperlink" Target="http://www.sec.gov/ix?doc=/Archives/edgar/data/1692115/000169211523000112/swx-20230504.htm" TargetMode="External"/><Relationship Id="rId99" Type="http://schemas.openxmlformats.org/officeDocument/2006/relationships/hyperlink" Target="http://www.sec.gov/Archives/edgar/data/0001692115/000169211523000123/swx-20230717.htm" TargetMode="External"/><Relationship Id="rId100" Type="http://schemas.openxmlformats.org/officeDocument/2006/relationships/hyperlink" Target="http://www.sec.gov/Archives/edgar/data/0001692115/000119312523262990/d572435d8k.htm" TargetMode="External"/><Relationship Id="rId101" Type="http://schemas.openxmlformats.org/officeDocument/2006/relationships/hyperlink" Target="http://www.sec.gov/Archives/edgar/data/0001692115/000119312523270893/d927165d8k.htm" TargetMode="External"/><Relationship Id="rId102" Type="http://schemas.openxmlformats.org/officeDocument/2006/relationships/hyperlink" Target="http://www.sec.gov/Archives/edgar/data/0001692115/000119312523277885/d604131d8k.htm" TargetMode="External"/><Relationship Id="rId103" Type="http://schemas.openxmlformats.org/officeDocument/2006/relationships/hyperlink" Target="http://www.sec.gov/ix?doc=/Archives/edgar/data/1692115/000119312523283402/d906756d8k.htm" TargetMode="External"/><Relationship Id="rId104" Type="http://schemas.openxmlformats.org/officeDocument/2006/relationships/hyperlink" Target="http://www.sec.gov/ix?doc=/Archives/edgar/data/1692115/000119312523283389/d906748d8k.htm" TargetMode="External"/><Relationship Id="rId105" Type="http://schemas.openxmlformats.org/officeDocument/2006/relationships/hyperlink" Target="http://www.sec.gov/Archives/edgar/data/0000092416/000119312523012081/d439616d8k.htm" TargetMode="External"/><Relationship Id="rId106" Type="http://schemas.openxmlformats.org/officeDocument/2006/relationships/hyperlink" Target="http://www.sec.gov/Archives/edgar/data/0000092416/000119312523078049/d360456d8k.htm" TargetMode="External"/><Relationship Id="rId107" Type="http://schemas.openxmlformats.org/officeDocument/2006/relationships/hyperlink" Target="http://www.sec.gov/Archives/edgar/data/0000092416/000169211523000102/swx-20230329.htm" TargetMode="External"/><Relationship Id="rId108" Type="http://schemas.openxmlformats.org/officeDocument/2006/relationships/hyperlink" Target="http://www.sec.gov/Archives/edgar/data/0000092416/000119312523103864/d484535d8k.htm" TargetMode="External"/><Relationship Id="rId109" Type="http://schemas.openxmlformats.org/officeDocument/2006/relationships/hyperlink" Target="http://www.sec.gov/Archives/edgar/data/0000092416/000119312523126894/d485601d8k.htm" TargetMode="External"/><Relationship Id="rId110" Type="http://schemas.openxmlformats.org/officeDocument/2006/relationships/hyperlink" Target="http://www.sec.gov/Archives/edgar/data/0000092416/000169211523000123/swx-2023071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2025-11-26T16:32:13Z</dcterms:created>
  <dcterms:modified xsi:type="dcterms:W3CDTF">2025-11-26T16:32:13Z</dcterms:modified>
</cp:coreProperties>
</file>